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ind w:left="316" w:leftChars="152" w:firstLine="102" w:firstLineChars="32"/>
        <w:rPr>
          <w:rFonts w:ascii="黑体" w:eastAsia="黑体"/>
          <w:sz w:val="32"/>
          <w:szCs w:val="32"/>
        </w:rPr>
      </w:pPr>
      <w:bookmarkStart w:id="0" w:name="_GoBack"/>
      <w:bookmarkEnd w:id="0"/>
      <w:r>
        <w:rPr>
          <w:rFonts w:ascii="黑体" w:eastAsia="黑体"/>
          <w:sz w:val="32"/>
          <w:szCs w:val="32"/>
        </w:rPr>
        <w:t>附件</w:t>
      </w:r>
      <w:r>
        <w:rPr>
          <w:rFonts w:hint="eastAsia" w:ascii="黑体" w:eastAsia="黑体"/>
          <w:sz w:val="32"/>
          <w:szCs w:val="32"/>
        </w:rPr>
        <w:t>1</w:t>
      </w:r>
    </w:p>
    <w:p>
      <w:pPr>
        <w:widowControl/>
        <w:tabs>
          <w:tab w:val="left" w:pos="3312"/>
          <w:tab w:val="left" w:pos="9936"/>
        </w:tabs>
        <w:jc w:val="center"/>
        <w:rPr>
          <w:rFonts w:ascii="方正小标宋简体" w:eastAsia="方正小标宋简体" w:cs="仿宋"/>
          <w:color w:val="000000"/>
          <w:kern w:val="0"/>
          <w:sz w:val="44"/>
          <w:szCs w:val="32"/>
        </w:rPr>
      </w:pPr>
      <w:r>
        <w:rPr>
          <w:rFonts w:hint="eastAsia" w:ascii="方正小标宋简体" w:eastAsia="方正小标宋简体" w:cs="仿宋"/>
          <w:color w:val="000000"/>
          <w:kern w:val="0"/>
          <w:sz w:val="44"/>
          <w:szCs w:val="32"/>
        </w:rPr>
        <w:t>202</w:t>
      </w:r>
      <w:r>
        <w:rPr>
          <w:rFonts w:ascii="方正小标宋简体" w:eastAsia="方正小标宋简体" w:cs="仿宋"/>
          <w:color w:val="000000"/>
          <w:kern w:val="0"/>
          <w:sz w:val="44"/>
          <w:szCs w:val="32"/>
        </w:rPr>
        <w:t>3</w:t>
      </w:r>
      <w:r>
        <w:rPr>
          <w:rFonts w:hint="eastAsia" w:ascii="方正小标宋简体" w:eastAsia="方正小标宋简体" w:cs="仿宋"/>
          <w:color w:val="000000"/>
          <w:kern w:val="0"/>
          <w:sz w:val="44"/>
          <w:szCs w:val="32"/>
        </w:rPr>
        <w:t>年度吕梁市政务公开工作考核细则</w:t>
      </w:r>
      <w:r>
        <w:rPr>
          <w:rFonts w:ascii="方正小标宋简体" w:eastAsia="方正小标宋简体" w:cs="仿宋"/>
          <w:color w:val="000000"/>
          <w:kern w:val="0"/>
          <w:sz w:val="44"/>
          <w:szCs w:val="32"/>
        </w:rPr>
        <w:t>和</w:t>
      </w:r>
      <w:r>
        <w:rPr>
          <w:rFonts w:hint="eastAsia" w:ascii="方正小标宋简体" w:eastAsia="方正小标宋简体" w:cs="仿宋"/>
          <w:color w:val="000000"/>
          <w:kern w:val="0"/>
          <w:sz w:val="44"/>
          <w:szCs w:val="32"/>
        </w:rPr>
        <w:t>评分表</w:t>
      </w:r>
      <w:r>
        <w:rPr>
          <w:rFonts w:hint="eastAsia" w:ascii="方正小标宋简体" w:eastAsia="方正小标宋简体" w:cs="仿宋"/>
          <w:color w:val="000000"/>
          <w:kern w:val="0"/>
          <w:sz w:val="44"/>
          <w:szCs w:val="32"/>
          <w:lang w:eastAsia="zh-CN"/>
        </w:rPr>
        <w:t>（</w:t>
      </w:r>
      <w:r>
        <w:rPr>
          <w:rFonts w:hint="eastAsia" w:ascii="方正小标宋简体" w:eastAsia="方正小标宋简体" w:cs="仿宋"/>
          <w:color w:val="000000"/>
          <w:kern w:val="0"/>
          <w:sz w:val="44"/>
          <w:szCs w:val="32"/>
        </w:rPr>
        <w:t>A类</w:t>
      </w:r>
      <w:r>
        <w:rPr>
          <w:rFonts w:hint="eastAsia" w:ascii="方正小标宋简体" w:eastAsia="方正小标宋简体" w:cs="仿宋"/>
          <w:color w:val="000000"/>
          <w:kern w:val="0"/>
          <w:sz w:val="44"/>
          <w:szCs w:val="32"/>
          <w:lang w:eastAsia="zh-CN"/>
        </w:rPr>
        <w:t>）</w:t>
      </w:r>
    </w:p>
    <w:tbl>
      <w:tblPr>
        <w:tblStyle w:val="9"/>
        <w:tblW w:w="137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885"/>
        <w:gridCol w:w="1733"/>
        <w:gridCol w:w="510"/>
        <w:gridCol w:w="5297"/>
        <w:gridCol w:w="2355"/>
        <w:gridCol w:w="2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blHeader/>
          <w:jc w:val="center"/>
        </w:trPr>
        <w:tc>
          <w:tcPr>
            <w:tcW w:w="742"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一级指标</w:t>
            </w:r>
          </w:p>
        </w:tc>
        <w:tc>
          <w:tcPr>
            <w:tcW w:w="885"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二级</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指标</w:t>
            </w:r>
          </w:p>
        </w:tc>
        <w:tc>
          <w:tcPr>
            <w:tcW w:w="1733"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三级</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指标</w:t>
            </w:r>
          </w:p>
        </w:tc>
        <w:tc>
          <w:tcPr>
            <w:tcW w:w="510"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赋</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分</w:t>
            </w:r>
          </w:p>
        </w:tc>
        <w:tc>
          <w:tcPr>
            <w:tcW w:w="5297"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扣分</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标准</w:t>
            </w:r>
          </w:p>
        </w:tc>
        <w:tc>
          <w:tcPr>
            <w:tcW w:w="2355"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加分</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标准</w:t>
            </w:r>
          </w:p>
        </w:tc>
        <w:tc>
          <w:tcPr>
            <w:tcW w:w="2220" w:type="dxa"/>
            <w:vAlign w:val="center"/>
          </w:tcPr>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考核</w:t>
            </w:r>
          </w:p>
          <w:p>
            <w:pPr>
              <w:widowControl/>
              <w:spacing w:line="300" w:lineRule="exact"/>
              <w:jc w:val="center"/>
              <w:rPr>
                <w:rFonts w:hint="eastAsia" w:ascii="仿宋_GB2312" w:eastAsia="仿宋_GB2312" w:cs="仿宋"/>
                <w:b/>
                <w:bCs/>
                <w:color w:val="000000"/>
                <w:kern w:val="0"/>
                <w:sz w:val="24"/>
              </w:rPr>
            </w:pPr>
            <w:r>
              <w:rPr>
                <w:rFonts w:hint="eastAsia" w:ascii="仿宋_GB2312" w:eastAsia="仿宋_GB2312" w:cs="仿宋"/>
                <w:b/>
                <w:bCs/>
                <w:color w:val="000000"/>
                <w:kern w:val="0"/>
                <w:sz w:val="24"/>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742" w:type="dxa"/>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工作保障</w:t>
            </w:r>
          </w:p>
        </w:tc>
        <w:tc>
          <w:tcPr>
            <w:tcW w:w="2618" w:type="dxa"/>
            <w:gridSpan w:val="2"/>
            <w:tcBorders>
              <w:left w:val="single" w:color="auto" w:sz="4" w:space="0"/>
              <w:right w:val="single" w:color="auto" w:sz="4" w:space="0"/>
            </w:tcBorders>
            <w:vAlign w:val="center"/>
          </w:tcPr>
          <w:p>
            <w:pPr>
              <w:spacing w:line="300" w:lineRule="exact"/>
              <w:jc w:val="center"/>
              <w:rPr>
                <w:rFonts w:ascii="仿宋_GB2312" w:eastAsia="仿宋_GB2312" w:cs="Noto Sans Mono CJK HK"/>
                <w:sz w:val="24"/>
              </w:rPr>
            </w:pPr>
            <w:r>
              <w:rPr>
                <w:rFonts w:ascii="仿宋_GB2312" w:eastAsia="仿宋_GB2312" w:cs="Noto Sans Mono CJK HK"/>
                <w:sz w:val="24"/>
              </w:rPr>
              <w:t>业务培训</w:t>
            </w:r>
          </w:p>
        </w:tc>
        <w:tc>
          <w:tcPr>
            <w:tcW w:w="510"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hint="eastAsia" w:ascii="仿宋_GB2312" w:eastAsia="仿宋_GB2312" w:cs="仿宋"/>
                <w:color w:val="000000"/>
                <w:kern w:val="0"/>
                <w:sz w:val="24"/>
              </w:rPr>
              <w:t>－</w:t>
            </w:r>
          </w:p>
        </w:tc>
        <w:tc>
          <w:tcPr>
            <w:tcW w:w="5297"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hint="eastAsia" w:ascii="仿宋_GB2312" w:eastAsia="仿宋_GB2312" w:cs="仿宋"/>
                <w:color w:val="000000"/>
                <w:kern w:val="0"/>
                <w:sz w:val="24"/>
              </w:rPr>
              <w:t>－</w:t>
            </w:r>
          </w:p>
        </w:tc>
        <w:tc>
          <w:tcPr>
            <w:tcW w:w="2355" w:type="dxa"/>
            <w:tcBorders>
              <w:left w:val="single" w:color="auto" w:sz="4" w:space="0"/>
              <w:right w:val="single" w:color="auto" w:sz="4" w:space="0"/>
            </w:tcBorders>
            <w:vAlign w:val="center"/>
          </w:tcPr>
          <w:p>
            <w:pPr>
              <w:widowControl/>
              <w:spacing w:line="300" w:lineRule="exact"/>
              <w:jc w:val="left"/>
              <w:rPr>
                <w:rFonts w:ascii="仿宋_GB2312" w:eastAsia="仿宋_GB2312" w:cs="仿宋"/>
                <w:sz w:val="24"/>
              </w:rPr>
            </w:pPr>
            <w:r>
              <w:rPr>
                <w:rFonts w:hint="eastAsia" w:ascii="仿宋_GB2312" w:eastAsia="仿宋_GB2312" w:cs="仿宋"/>
                <w:sz w:val="24"/>
              </w:rPr>
              <w:t>年内开展政务公开业务培训的，</w:t>
            </w:r>
            <w:r>
              <w:rPr>
                <w:rFonts w:ascii="仿宋_GB2312" w:eastAsia="仿宋_GB2312" w:cs="仿宋"/>
                <w:sz w:val="24"/>
              </w:rPr>
              <w:t>加1</w:t>
            </w:r>
            <w:r>
              <w:rPr>
                <w:rFonts w:hint="eastAsia" w:ascii="仿宋_GB2312" w:eastAsia="仿宋_GB2312" w:cs="仿宋"/>
                <w:sz w:val="24"/>
              </w:rPr>
              <w:t>分</w:t>
            </w:r>
            <w:r>
              <w:rPr>
                <w:rFonts w:ascii="仿宋_GB2312" w:eastAsia="仿宋_GB2312" w:cs="仿宋"/>
                <w:sz w:val="24"/>
              </w:rPr>
              <w:t>；</w:t>
            </w:r>
          </w:p>
          <w:p>
            <w:pPr>
              <w:widowControl/>
              <w:spacing w:line="300" w:lineRule="exact"/>
              <w:jc w:val="left"/>
              <w:rPr>
                <w:rFonts w:ascii="仿宋_GB2312" w:eastAsia="仿宋_GB2312" w:cs="仿宋"/>
                <w:color w:val="000000"/>
                <w:kern w:val="0"/>
                <w:sz w:val="24"/>
              </w:rPr>
            </w:pPr>
            <w:r>
              <w:rPr>
                <w:rFonts w:ascii="仿宋_GB2312" w:eastAsia="仿宋_GB2312" w:cs="仿宋"/>
                <w:spacing w:val="-11"/>
                <w:sz w:val="24"/>
              </w:rPr>
              <w:t>将政务公开纳入公务员初任培训的，加1分</w:t>
            </w:r>
          </w:p>
        </w:tc>
        <w:tc>
          <w:tcPr>
            <w:tcW w:w="2220" w:type="dxa"/>
            <w:vAlign w:val="center"/>
          </w:tcPr>
          <w:p>
            <w:pPr>
              <w:rPr>
                <w:rFonts w:ascii="仿宋_GB2312" w:eastAsia="仿宋_GB2312"/>
                <w:sz w:val="24"/>
              </w:rPr>
            </w:pPr>
            <w:r>
              <w:rPr>
                <w:rFonts w:ascii="仿宋_GB2312" w:eastAsia="仿宋_GB2312"/>
                <w:sz w:val="24"/>
              </w:rPr>
              <w:t>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jc w:val="center"/>
        </w:trPr>
        <w:tc>
          <w:tcPr>
            <w:tcW w:w="742" w:type="dxa"/>
            <w:vMerge w:val="restart"/>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主</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动</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公</w:t>
            </w:r>
          </w:p>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开</w:t>
            </w:r>
          </w:p>
        </w:tc>
        <w:tc>
          <w:tcPr>
            <w:tcW w:w="885" w:type="dxa"/>
            <w:vMerge w:val="restart"/>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基础信息</w:t>
            </w:r>
            <w:r>
              <w:rPr>
                <w:rFonts w:hint="eastAsia" w:ascii="仿宋_GB2312" w:eastAsia="仿宋_GB2312" w:cs="仿宋"/>
                <w:color w:val="000000"/>
                <w:kern w:val="0"/>
                <w:sz w:val="24"/>
              </w:rPr>
              <w:t>公开</w:t>
            </w:r>
          </w:p>
          <w:p>
            <w:pPr>
              <w:widowControl/>
              <w:spacing w:line="300" w:lineRule="exact"/>
              <w:jc w:val="both"/>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spacing w:line="300" w:lineRule="exact"/>
              <w:jc w:val="center"/>
              <w:rPr>
                <w:rFonts w:hint="eastAsia" w:ascii="仿宋_GB2312" w:eastAsia="仿宋_GB2312" w:cs="Noto Sans Mono CJK HK"/>
                <w:sz w:val="24"/>
              </w:rPr>
            </w:pPr>
            <w:r>
              <w:rPr>
                <w:rFonts w:ascii="仿宋_GB2312" w:eastAsia="仿宋_GB2312" w:cs="Noto Sans Mono CJK HK"/>
                <w:sz w:val="24"/>
              </w:rPr>
              <w:t>机构职能信息</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spacing w:line="300" w:lineRule="exact"/>
              <w:rPr>
                <w:rFonts w:hint="eastAsia" w:ascii="仿宋_GB2312" w:eastAsia="仿宋_GB2312"/>
                <w:spacing w:val="-6"/>
                <w:sz w:val="24"/>
              </w:rPr>
            </w:pPr>
            <w:r>
              <w:rPr>
                <w:rFonts w:ascii="仿宋_GB2312" w:eastAsia="仿宋_GB2312"/>
                <w:spacing w:val="-6"/>
                <w:sz w:val="24"/>
              </w:rPr>
              <w:t>未通过政府门户网站及时、规范、集中公开机关职能（包括政府办）、机构设置、办公地址、办公时间、联系方式、负责人姓名等信息的，有一项扣1分，扣分上限2分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0"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spacing w:line="300" w:lineRule="exact"/>
              <w:jc w:val="center"/>
              <w:rPr>
                <w:rFonts w:hint="eastAsia" w:ascii="仿宋_GB2312" w:eastAsia="仿宋_GB2312" w:cs="Noto Sans Mono CJK HK"/>
                <w:sz w:val="24"/>
              </w:rPr>
            </w:pPr>
            <w:r>
              <w:rPr>
                <w:rFonts w:ascii="仿宋_GB2312" w:eastAsia="仿宋_GB2312" w:cs="Noto Sans Mono CJK HK"/>
                <w:sz w:val="24"/>
              </w:rPr>
              <w:t>行政许可、行政处罚</w:t>
            </w:r>
            <w:r>
              <w:rPr>
                <w:rFonts w:hint="eastAsia" w:ascii="仿宋_GB2312" w:eastAsia="仿宋_GB2312" w:cs="Noto Sans Mono CJK HK"/>
                <w:sz w:val="24"/>
              </w:rPr>
              <w:t>“</w:t>
            </w:r>
            <w:r>
              <w:rPr>
                <w:rFonts w:ascii="仿宋_GB2312" w:eastAsia="仿宋_GB2312" w:cs="Noto Sans Mono CJK HK"/>
                <w:sz w:val="24"/>
              </w:rPr>
              <w:t>双公示</w:t>
            </w:r>
            <w:r>
              <w:rPr>
                <w:rFonts w:hint="eastAsia" w:ascii="仿宋_GB2312" w:eastAsia="仿宋_GB2312" w:cs="Noto Sans Mono CJK HK"/>
                <w:sz w:val="24"/>
              </w:rPr>
              <w:t>”</w:t>
            </w:r>
            <w:r>
              <w:rPr>
                <w:rFonts w:ascii="仿宋_GB2312" w:eastAsia="仿宋_GB2312" w:cs="Noto Sans Mono CJK HK"/>
                <w:sz w:val="24"/>
              </w:rPr>
              <w:t>情况</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4</w:t>
            </w:r>
          </w:p>
        </w:tc>
        <w:tc>
          <w:tcPr>
            <w:tcW w:w="5297" w:type="dxa"/>
            <w:tcBorders>
              <w:left w:val="single" w:color="auto" w:sz="4" w:space="0"/>
              <w:right w:val="single" w:color="auto" w:sz="4" w:space="0"/>
            </w:tcBorders>
            <w:vAlign w:val="center"/>
          </w:tcPr>
          <w:p>
            <w:pPr>
              <w:rPr>
                <w:rFonts w:hint="eastAsia" w:ascii="仿宋_GB2312" w:eastAsia="仿宋_GB2312"/>
                <w:sz w:val="24"/>
              </w:rPr>
            </w:pPr>
            <w:r>
              <w:rPr>
                <w:rFonts w:ascii="仿宋_GB2312" w:eastAsia="仿宋_GB2312"/>
                <w:sz w:val="24"/>
              </w:rPr>
              <w:t>根据市发改委提供的各县（市、区）</w:t>
            </w:r>
            <w:r>
              <w:rPr>
                <w:rFonts w:hint="eastAsia" w:ascii="仿宋_GB2312" w:eastAsia="仿宋_GB2312"/>
                <w:sz w:val="24"/>
              </w:rPr>
              <w:t>“</w:t>
            </w:r>
            <w:r>
              <w:rPr>
                <w:rFonts w:ascii="仿宋_GB2312" w:eastAsia="仿宋_GB2312"/>
                <w:sz w:val="24"/>
              </w:rPr>
              <w:t>双公示</w:t>
            </w:r>
            <w:r>
              <w:rPr>
                <w:rFonts w:hint="eastAsia" w:ascii="仿宋_GB2312" w:eastAsia="仿宋_GB2312"/>
                <w:sz w:val="24"/>
              </w:rPr>
              <w:t>”</w:t>
            </w:r>
            <w:r>
              <w:rPr>
                <w:rFonts w:ascii="仿宋_GB2312" w:eastAsia="仿宋_GB2312"/>
                <w:sz w:val="24"/>
              </w:rPr>
              <w:t>数据报送的合规率、迟报率、规范性和时效性情况综合评定分数</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spacing w:line="300" w:lineRule="exact"/>
              <w:rPr>
                <w:rFonts w:hint="eastAsia" w:ascii="仿宋_GB2312" w:eastAsia="仿宋_GB2312"/>
                <w:sz w:val="24"/>
              </w:rPr>
            </w:pPr>
            <w:r>
              <w:rPr>
                <w:rFonts w:ascii="仿宋_GB2312" w:eastAsia="仿宋_GB2312"/>
                <w:sz w:val="24"/>
              </w:rPr>
              <w:t>市发改委提供考核依据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pStyle w:val="16"/>
              <w:spacing w:line="146" w:lineRule="auto"/>
              <w:ind w:right="9"/>
              <w:jc w:val="center"/>
              <w:rPr>
                <w:rFonts w:hint="eastAsia" w:ascii="仿宋_GB2312" w:eastAsia="仿宋_GB2312" w:cs="仿宋"/>
                <w:color w:val="000000"/>
                <w:kern w:val="0"/>
                <w:sz w:val="24"/>
                <w:szCs w:val="24"/>
              </w:rPr>
            </w:pPr>
            <w:r>
              <w:rPr>
                <w:rFonts w:ascii="仿宋_GB2312" w:eastAsia="仿宋_GB2312" w:cs="仿宋"/>
                <w:color w:val="000000"/>
                <w:kern w:val="0"/>
                <w:sz w:val="24"/>
                <w:szCs w:val="24"/>
              </w:rPr>
              <w:t>财政预决算</w:t>
            </w:r>
          </w:p>
        </w:tc>
        <w:tc>
          <w:tcPr>
            <w:tcW w:w="510" w:type="dxa"/>
            <w:tcBorders>
              <w:left w:val="single" w:color="auto" w:sz="4" w:space="0"/>
              <w:right w:val="single" w:color="auto" w:sz="4" w:space="0"/>
            </w:tcBorders>
            <w:vAlign w:val="center"/>
          </w:tcPr>
          <w:p>
            <w:pPr>
              <w:pStyle w:val="16"/>
              <w:ind w:firstLine="0"/>
              <w:jc w:val="center"/>
              <w:rPr>
                <w:rFonts w:hint="eastAsia" w:ascii="仿宋_GB2312" w:eastAsia="仿宋_GB2312" w:cs="仿宋"/>
                <w:color w:val="000000"/>
                <w:kern w:val="0"/>
                <w:sz w:val="24"/>
                <w:szCs w:val="24"/>
              </w:rPr>
            </w:pPr>
            <w:r>
              <w:rPr>
                <w:rFonts w:ascii="仿宋_GB2312" w:eastAsia="仿宋_GB2312" w:cs="仿宋"/>
                <w:color w:val="000000"/>
                <w:kern w:val="0"/>
                <w:sz w:val="24"/>
                <w:szCs w:val="24"/>
              </w:rPr>
              <w:t>2</w:t>
            </w:r>
          </w:p>
        </w:tc>
        <w:tc>
          <w:tcPr>
            <w:tcW w:w="5297" w:type="dxa"/>
            <w:tcBorders>
              <w:left w:val="single" w:color="auto" w:sz="4" w:space="0"/>
              <w:right w:val="single" w:color="auto" w:sz="4" w:space="0"/>
            </w:tcBorders>
            <w:vAlign w:val="center"/>
          </w:tcPr>
          <w:p>
            <w:pPr>
              <w:widowControl/>
              <w:spacing w:line="300" w:lineRule="exact"/>
              <w:rPr>
                <w:rFonts w:hint="eastAsia" w:ascii="仿宋_GB2312" w:eastAsia="仿宋_GB2312" w:cs="仿宋"/>
                <w:sz w:val="24"/>
              </w:rPr>
            </w:pPr>
            <w:r>
              <w:rPr>
                <w:rFonts w:ascii="仿宋_GB2312" w:eastAsia="仿宋_GB2312"/>
                <w:sz w:val="24"/>
              </w:rPr>
              <w:t>未通过政府门户网站及时、规范、集中公开本级政府及下辖部门财政预决算情况的，扣2分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hint="eastAsia" w:ascii="仿宋_GB2312" w:eastAsia="仿宋_GB2312" w:cs="仿宋"/>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4"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ascii="仿宋_GB2312" w:eastAsia="仿宋_GB2312"/>
                <w:sz w:val="24"/>
              </w:rPr>
              <w:t>行政事业性</w:t>
            </w:r>
          </w:p>
          <w:p>
            <w:pPr>
              <w:spacing w:line="300" w:lineRule="exact"/>
              <w:jc w:val="center"/>
              <w:rPr>
                <w:rFonts w:hint="eastAsia" w:ascii="仿宋_GB2312" w:eastAsia="仿宋_GB2312"/>
                <w:sz w:val="24"/>
              </w:rPr>
            </w:pPr>
            <w:r>
              <w:rPr>
                <w:rFonts w:ascii="仿宋_GB2312" w:eastAsia="仿宋_GB2312"/>
                <w:sz w:val="24"/>
              </w:rPr>
              <w:t>收费</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spacing w:line="300" w:lineRule="exact"/>
              <w:rPr>
                <w:rFonts w:ascii="仿宋_GB2312" w:eastAsia="仿宋_GB2312" w:cs="仿宋"/>
                <w:spacing w:val="-6"/>
                <w:sz w:val="24"/>
              </w:rPr>
            </w:pPr>
            <w:r>
              <w:rPr>
                <w:rFonts w:ascii="仿宋_GB2312" w:eastAsia="仿宋_GB2312"/>
                <w:spacing w:val="-6"/>
                <w:sz w:val="24"/>
              </w:rPr>
              <w:t>未通过政府门户网站及时、规范、集中公开本级政府行政事业性收费项目的，扣1分</w:t>
            </w:r>
            <w:r>
              <w:rPr>
                <w:rFonts w:ascii="仿宋_GB2312" w:eastAsia="仿宋_GB2312" w:cs="仿宋"/>
                <w:spacing w:val="-6"/>
                <w:sz w:val="24"/>
              </w:rPr>
              <w:t>；</w:t>
            </w:r>
          </w:p>
          <w:p>
            <w:pPr>
              <w:tabs>
                <w:tab w:val="left" w:pos="2070"/>
              </w:tabs>
              <w:spacing w:line="300" w:lineRule="exact"/>
              <w:rPr>
                <w:rFonts w:hint="eastAsia" w:ascii="仿宋_GB2312" w:eastAsia="仿宋_GB2312"/>
                <w:sz w:val="24"/>
              </w:rPr>
            </w:pPr>
            <w:r>
              <w:rPr>
                <w:rFonts w:ascii="仿宋_GB2312" w:eastAsia="仿宋_GB2312" w:cs="仿宋"/>
                <w:sz w:val="24"/>
              </w:rPr>
              <w:t>未公开其依据、标准的，扣1分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spacing w:line="300" w:lineRule="exact"/>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742" w:type="dxa"/>
            <w:vMerge w:val="continue"/>
            <w:tcBorders>
              <w:tl2br w:val="nil"/>
              <w:tr2bl w:val="nil"/>
            </w:tcBorders>
            <w:vAlign w:val="center"/>
          </w:tcPr>
          <w:p>
            <w:pPr>
              <w:widowControl/>
              <w:spacing w:line="300" w:lineRule="exact"/>
              <w:jc w:val="center"/>
              <w:rPr>
                <w:rFonts w:ascii="仿宋_GB2312" w:eastAsia="仿宋_GB2312" w:cs="仿宋"/>
                <w:color w:val="000000"/>
                <w:kern w:val="0"/>
                <w:sz w:val="24"/>
              </w:rPr>
            </w:pPr>
          </w:p>
        </w:tc>
        <w:tc>
          <w:tcPr>
            <w:tcW w:w="885" w:type="dxa"/>
            <w:vMerge w:val="continue"/>
            <w:tcBorders>
              <w:left w:val="single" w:color="auto" w:sz="4" w:space="0"/>
              <w:right w:val="single" w:color="auto" w:sz="4" w:space="0"/>
              <w:tl2br w:val="nil"/>
              <w:tr2bl w:val="nil"/>
            </w:tcBorders>
            <w:vAlign w:val="center"/>
          </w:tcPr>
          <w:p>
            <w:pPr>
              <w:widowControl/>
              <w:spacing w:line="300" w:lineRule="exact"/>
              <w:jc w:val="both"/>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ascii="仿宋_GB2312" w:eastAsia="仿宋_GB2312"/>
                <w:sz w:val="24"/>
              </w:rPr>
              <w:t>重大行政决策</w:t>
            </w:r>
          </w:p>
          <w:p>
            <w:pPr>
              <w:spacing w:line="300" w:lineRule="exact"/>
              <w:jc w:val="center"/>
              <w:rPr>
                <w:rFonts w:hint="eastAsia" w:ascii="仿宋_GB2312" w:eastAsia="仿宋_GB2312"/>
                <w:sz w:val="24"/>
              </w:rPr>
            </w:pPr>
            <w:r>
              <w:rPr>
                <w:rFonts w:ascii="仿宋_GB2312" w:eastAsia="仿宋_GB2312"/>
                <w:sz w:val="24"/>
              </w:rPr>
              <w:t>预公</w:t>
            </w:r>
            <w:r>
              <w:rPr>
                <w:rFonts w:hint="eastAsia" w:ascii="仿宋_GB2312" w:eastAsia="仿宋_GB2312"/>
                <w:sz w:val="24"/>
              </w:rPr>
              <w:t>开</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sz w:val="24"/>
              </w:rPr>
              <w:t>未通过政府门户网站开展重大行政决策意见征集的（包括及时、规范、集中公开文件征求意见稿、对征求意见稿的解读、意见征集情况）的，扣1分，公开不全面的，扣1分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spacing w:line="300" w:lineRule="exact"/>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8" w:hRule="atLeast"/>
          <w:jc w:val="center"/>
        </w:trPr>
        <w:tc>
          <w:tcPr>
            <w:tcW w:w="742" w:type="dxa"/>
            <w:vMerge w:val="restart"/>
            <w:tcBorders>
              <w:tl2br w:val="nil"/>
              <w:tr2bl w:val="nil"/>
            </w:tcBorders>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主</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动</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公</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开</w:t>
            </w:r>
          </w:p>
          <w:p>
            <w:pPr>
              <w:jc w:val="center"/>
              <w:rPr>
                <w:rFonts w:hint="eastAsia" w:ascii="仿宋_GB2312" w:hAnsi="仿宋_GB2312" w:eastAsia="仿宋_GB2312" w:cs="仿宋_GB2312"/>
                <w:lang w:eastAsia="zh-CN"/>
              </w:rPr>
            </w:pPr>
          </w:p>
          <w:p>
            <w:pPr>
              <w:widowControl/>
              <w:spacing w:line="300" w:lineRule="exact"/>
              <w:jc w:val="center"/>
              <w:rPr>
                <w:rFonts w:ascii="仿宋_GB2312" w:eastAsia="仿宋_GB2312" w:cs="仿宋"/>
                <w:color w:val="000000"/>
                <w:kern w:val="0"/>
                <w:sz w:val="24"/>
              </w:rPr>
            </w:pPr>
          </w:p>
        </w:tc>
        <w:tc>
          <w:tcPr>
            <w:tcW w:w="885" w:type="dxa"/>
            <w:vMerge w:val="restart"/>
            <w:tcBorders>
              <w:left w:val="single" w:color="auto" w:sz="4" w:space="0"/>
              <w:right w:val="single" w:color="auto" w:sz="4" w:space="0"/>
              <w:tl2br w:val="nil"/>
              <w:tr2bl w:val="nil"/>
            </w:tcBorders>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基础</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信息</w:t>
            </w:r>
          </w:p>
          <w:p>
            <w:pPr>
              <w:jc w:val="center"/>
              <w:rPr>
                <w:rFonts w:hint="eastAsia" w:eastAsia="宋体"/>
                <w:lang w:eastAsia="zh-CN"/>
              </w:rPr>
            </w:pPr>
            <w:r>
              <w:rPr>
                <w:rFonts w:hint="eastAsia" w:ascii="仿宋_GB2312" w:hAnsi="仿宋_GB2312" w:eastAsia="仿宋_GB2312" w:cs="仿宋_GB2312"/>
                <w:lang w:eastAsia="zh-CN"/>
              </w:rPr>
              <w:t>公开</w:t>
            </w:r>
          </w:p>
        </w:tc>
        <w:tc>
          <w:tcPr>
            <w:tcW w:w="1733"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重大会议信息</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sz w:val="24"/>
              </w:rPr>
              <w:t>未通过政府门户网站及时、规范、集中公开本级政府召开全体会议、常务会议、专题会议相关信息的，每缺一项扣1分，</w:t>
            </w:r>
            <w:r>
              <w:rPr>
                <w:rFonts w:ascii="仿宋_GB2312" w:eastAsia="仿宋_GB2312" w:cs="仿宋"/>
                <w:color w:val="000000"/>
                <w:kern w:val="0"/>
                <w:sz w:val="24"/>
              </w:rPr>
              <w:t>扣分上限为2分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tcBorders>
              <w:tl2br w:val="nil"/>
              <w:tr2bl w:val="nil"/>
            </w:tcBorders>
            <w:vAlign w:val="center"/>
          </w:tcPr>
          <w:p>
            <w:pPr>
              <w:spacing w:line="300" w:lineRule="exact"/>
              <w:rPr>
                <w:rFonts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3"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cs="仿宋"/>
                <w:color w:val="000000"/>
                <w:kern w:val="0"/>
                <w:sz w:val="24"/>
              </w:rPr>
              <w:t>人大代表建议、政协提案办理公开</w:t>
            </w:r>
          </w:p>
        </w:tc>
        <w:tc>
          <w:tcPr>
            <w:tcW w:w="510"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spacing w:line="300" w:lineRule="exact"/>
              <w:rPr>
                <w:rFonts w:hint="eastAsia" w:ascii="仿宋_GB2312" w:eastAsia="仿宋_GB2312"/>
                <w:spacing w:val="-6"/>
                <w:sz w:val="24"/>
              </w:rPr>
            </w:pPr>
            <w:r>
              <w:rPr>
                <w:rFonts w:ascii="仿宋_GB2312" w:eastAsia="仿宋_GB2312"/>
                <w:spacing w:val="-6"/>
                <w:sz w:val="24"/>
              </w:rPr>
              <w:t>未在政府门户网站开设</w:t>
            </w:r>
            <w:r>
              <w:rPr>
                <w:rFonts w:ascii="仿宋_GB2312" w:eastAsia="仿宋_GB2312" w:cs="仿宋"/>
                <w:color w:val="000000"/>
                <w:spacing w:val="-6"/>
                <w:kern w:val="0"/>
                <w:sz w:val="24"/>
              </w:rPr>
              <w:t>建议、提案公开栏目，并公开人大代表建议、政协提案办理结果的，扣2分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tcBorders>
              <w:tl2br w:val="nil"/>
              <w:tr2bl w:val="nil"/>
            </w:tcBorders>
            <w:vAlign w:val="center"/>
          </w:tcPr>
          <w:p>
            <w:pPr>
              <w:spacing w:line="300" w:lineRule="exact"/>
              <w:rPr>
                <w:rFonts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征地信息录入情况</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spacing w:val="-6"/>
                <w:kern w:val="0"/>
                <w:sz w:val="24"/>
              </w:rPr>
            </w:pPr>
            <w:r>
              <w:rPr>
                <w:rFonts w:ascii="仿宋_GB2312" w:eastAsia="仿宋_GB2312" w:cs="仿宋"/>
                <w:color w:val="000000"/>
                <w:spacing w:val="-6"/>
                <w:kern w:val="0"/>
                <w:sz w:val="24"/>
              </w:rPr>
              <w:t>未按时限、标准将征地信息录入“山西省征地信息公开查询系统”的，有一件扣1分，扣分上限为3分</w:t>
            </w:r>
          </w:p>
        </w:tc>
        <w:tc>
          <w:tcPr>
            <w:tcW w:w="2355" w:type="dxa"/>
            <w:tcBorders>
              <w:left w:val="single" w:color="auto" w:sz="4" w:space="0"/>
              <w:right w:val="single" w:color="auto" w:sz="4" w:space="0"/>
            </w:tcBorders>
            <w:vAlign w:val="center"/>
          </w:tcPr>
          <w:p>
            <w:pPr>
              <w:jc w:val="center"/>
            </w:pPr>
            <w:r>
              <w:rPr>
                <w:rFonts w:hint="eastAsia" w:ascii="仿宋_GB2312" w:eastAsia="仿宋_GB2312"/>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jc w:val="center"/>
        </w:trPr>
        <w:tc>
          <w:tcPr>
            <w:tcW w:w="742" w:type="dxa"/>
            <w:vMerge w:val="continue"/>
            <w:tcBorders>
              <w:tl2br w:val="nil"/>
              <w:tr2bl w:val="nil"/>
            </w:tcBorders>
            <w:vAlign w:val="center"/>
          </w:tcPr>
          <w:p/>
        </w:tc>
        <w:tc>
          <w:tcPr>
            <w:tcW w:w="885" w:type="dxa"/>
            <w:vMerge w:val="restart"/>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重点领域公开</w:t>
            </w:r>
          </w:p>
          <w:p>
            <w:pPr>
              <w:widowControl/>
              <w:spacing w:line="300" w:lineRule="exact"/>
              <w:jc w:val="center"/>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促进民营经济发展壮大</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5</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未在政府门户网站首页设置促进民营经济发展壮大专栏的，扣1分</w:t>
            </w:r>
          </w:p>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未</w:t>
            </w:r>
            <w:r>
              <w:rPr>
                <w:rFonts w:ascii="仿宋_GB2312" w:eastAsia="仿宋_GB2312"/>
                <w:sz w:val="24"/>
              </w:rPr>
              <w:t>及时、规范、集中公开</w:t>
            </w:r>
            <w:r>
              <w:rPr>
                <w:rFonts w:hint="eastAsia" w:ascii="仿宋_GB2312" w:eastAsia="仿宋_GB2312"/>
                <w:sz w:val="24"/>
              </w:rPr>
              <w:t>“</w:t>
            </w:r>
            <w:r>
              <w:rPr>
                <w:rFonts w:ascii="仿宋_GB2312" w:eastAsia="仿宋_GB2312"/>
                <w:sz w:val="24"/>
              </w:rPr>
              <w:t>涉企优惠政策目录清单、涉企补贴资金、监管标准和规则、违规收费典型案例</w:t>
            </w:r>
            <w:r>
              <w:rPr>
                <w:rFonts w:hint="eastAsia" w:ascii="仿宋_GB2312" w:eastAsia="仿宋_GB2312"/>
                <w:sz w:val="24"/>
              </w:rPr>
              <w:t>”</w:t>
            </w:r>
            <w:r>
              <w:rPr>
                <w:rFonts w:ascii="仿宋_GB2312" w:eastAsia="仿宋_GB2312"/>
                <w:sz w:val="24"/>
              </w:rPr>
              <w:t>的，每缺一项扣1分，扣分上限4分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食品药品监管</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未通过政府门户网站及时、规范、集中公开食品药品监管情况的（</w:t>
            </w:r>
            <w:r>
              <w:rPr>
                <w:rFonts w:hint="eastAsia" w:ascii="仿宋_GB2312" w:eastAsia="仿宋_GB2312" w:cs="仿宋"/>
                <w:color w:val="000000"/>
                <w:kern w:val="0"/>
                <w:sz w:val="24"/>
                <w:szCs w:val="24"/>
              </w:rPr>
              <w:t>如食品药品监管基层政务公开标准、食品生产监督检查、食品安全抽检、药品零售经营监督检查等信息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742" w:type="dxa"/>
            <w:vMerge w:val="continue"/>
            <w:tcBorders>
              <w:tl2br w:val="nil"/>
              <w:tr2bl w:val="nil"/>
            </w:tcBorders>
            <w:vAlign w:val="center"/>
          </w:tcPr>
          <w:p>
            <w:pPr>
              <w:widowControl/>
              <w:spacing w:line="300" w:lineRule="exact"/>
              <w:jc w:val="center"/>
              <w:rPr>
                <w:rFonts w:ascii="仿宋_GB2312" w:eastAsia="仿宋_GB2312" w:cs="仿宋"/>
                <w:color w:val="000000"/>
                <w:kern w:val="0"/>
                <w:sz w:val="24"/>
              </w:rPr>
            </w:pPr>
          </w:p>
        </w:tc>
        <w:tc>
          <w:tcPr>
            <w:tcW w:w="885" w:type="dxa"/>
            <w:vMerge w:val="continue"/>
            <w:tcBorders>
              <w:left w:val="single" w:color="auto" w:sz="4" w:space="0"/>
              <w:right w:val="single" w:color="auto" w:sz="4" w:space="0"/>
              <w:tl2br w:val="nil"/>
              <w:tr2bl w:val="nil"/>
            </w:tcBorders>
            <w:vAlign w:val="center"/>
          </w:tcPr>
          <w:p>
            <w:pPr>
              <w:widowControl/>
              <w:spacing w:line="300" w:lineRule="exact"/>
              <w:jc w:val="center"/>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稳岗就业</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未通过政府门户网站及时、规范、集中公开稳岗就业信息的（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稳岗就业</w:t>
            </w:r>
            <w:r>
              <w:rPr>
                <w:rFonts w:hint="eastAsia" w:ascii="仿宋_GB2312" w:eastAsia="仿宋_GB2312" w:cs="仿宋"/>
                <w:color w:val="000000"/>
                <w:kern w:val="0"/>
                <w:sz w:val="24"/>
                <w:szCs w:val="24"/>
              </w:rPr>
              <w:t>基层政务公开标准、</w:t>
            </w:r>
            <w:r>
              <w:rPr>
                <w:rFonts w:ascii="仿宋_GB2312" w:eastAsia="仿宋_GB2312" w:cs="仿宋"/>
                <w:color w:val="000000"/>
                <w:kern w:val="0"/>
                <w:sz w:val="24"/>
                <w:szCs w:val="24"/>
              </w:rPr>
              <w:t>就业政策</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就业指导</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就业服务等</w:t>
            </w:r>
            <w:r>
              <w:rPr>
                <w:rFonts w:hint="eastAsia" w:ascii="仿宋_GB2312" w:eastAsia="仿宋_GB2312" w:cs="仿宋"/>
                <w:color w:val="000000"/>
                <w:kern w:val="0"/>
                <w:sz w:val="24"/>
                <w:szCs w:val="24"/>
              </w:rPr>
              <w:t>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jc w:val="center"/>
        </w:trPr>
        <w:tc>
          <w:tcPr>
            <w:tcW w:w="742" w:type="dxa"/>
            <w:vMerge w:val="restart"/>
            <w:tcBorders>
              <w:tl2br w:val="nil"/>
              <w:tr2bl w:val="nil"/>
            </w:tcBorders>
            <w:vAlign w:val="center"/>
          </w:tcPr>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主</w:t>
            </w:r>
          </w:p>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动</w:t>
            </w:r>
          </w:p>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公</w:t>
            </w:r>
          </w:p>
          <w:p>
            <w:pPr>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开</w:t>
            </w:r>
          </w:p>
          <w:p>
            <w:pPr>
              <w:ind w:left="0"/>
              <w:jc w:val="center"/>
            </w:pPr>
          </w:p>
        </w:tc>
        <w:tc>
          <w:tcPr>
            <w:tcW w:w="885" w:type="dxa"/>
            <w:vMerge w:val="restart"/>
            <w:tcBorders>
              <w:left w:val="single" w:color="auto" w:sz="4" w:space="0"/>
              <w:right w:val="single" w:color="auto" w:sz="4" w:space="0"/>
              <w:tl2br w:val="nil"/>
              <w:tr2bl w:val="nil"/>
            </w:tcBorders>
            <w:vAlign w:val="center"/>
          </w:tcPr>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重点</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领域</w:t>
            </w:r>
          </w:p>
          <w:p>
            <w:pPr>
              <w:jc w:val="center"/>
              <w:rPr>
                <w:rFonts w:hint="eastAsia" w:ascii="仿宋_GB2312" w:hAnsi="仿宋_GB2312" w:eastAsia="仿宋_GB2312" w:cs="仿宋_GB2312"/>
                <w:lang w:eastAsia="zh-CN"/>
              </w:rPr>
            </w:pPr>
            <w:r>
              <w:rPr>
                <w:rFonts w:hint="eastAsia" w:ascii="仿宋_GB2312" w:hAnsi="仿宋_GB2312" w:eastAsia="仿宋_GB2312" w:cs="仿宋_GB2312"/>
                <w:lang w:eastAsia="zh-CN"/>
              </w:rPr>
              <w:t>公开</w:t>
            </w: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养老服务</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未通过政府门户网站及时、规范、集中公开养老服务信息的（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养老服务</w:t>
            </w:r>
            <w:r>
              <w:rPr>
                <w:rFonts w:hint="eastAsia" w:ascii="仿宋_GB2312" w:eastAsia="仿宋_GB2312" w:cs="仿宋"/>
                <w:color w:val="000000"/>
                <w:kern w:val="0"/>
                <w:sz w:val="24"/>
                <w:szCs w:val="24"/>
              </w:rPr>
              <w:t>基层政务公开标准、</w:t>
            </w:r>
            <w:r>
              <w:rPr>
                <w:rFonts w:ascii="仿宋_GB2312" w:eastAsia="仿宋_GB2312" w:cs="仿宋"/>
                <w:color w:val="000000"/>
                <w:kern w:val="0"/>
                <w:sz w:val="24"/>
                <w:szCs w:val="24"/>
              </w:rPr>
              <w:t>扶持政策</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行业管理等</w:t>
            </w:r>
            <w:r>
              <w:rPr>
                <w:rFonts w:hint="eastAsia" w:ascii="仿宋_GB2312" w:eastAsia="仿宋_GB2312" w:cs="仿宋"/>
                <w:color w:val="000000"/>
                <w:kern w:val="0"/>
                <w:sz w:val="24"/>
                <w:szCs w:val="24"/>
              </w:rPr>
              <w:t>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8"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义务教育</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未通过政府门户网站及时、规范、集中公开义务教育信息的（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义务教育</w:t>
            </w:r>
            <w:r>
              <w:rPr>
                <w:rFonts w:hint="eastAsia" w:ascii="仿宋_GB2312" w:eastAsia="仿宋_GB2312" w:cs="仿宋"/>
                <w:color w:val="000000"/>
                <w:kern w:val="0"/>
                <w:sz w:val="24"/>
                <w:szCs w:val="24"/>
              </w:rPr>
              <w:t>基层政务公开标准、</w:t>
            </w:r>
            <w:r>
              <w:rPr>
                <w:rFonts w:ascii="仿宋_GB2312" w:eastAsia="仿宋_GB2312" w:cs="仿宋"/>
                <w:color w:val="000000"/>
                <w:kern w:val="0"/>
                <w:sz w:val="24"/>
                <w:szCs w:val="24"/>
              </w:rPr>
              <w:t>教育概况</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招生管理、学生资助奖励等</w:t>
            </w:r>
            <w:r>
              <w:rPr>
                <w:rFonts w:hint="eastAsia" w:ascii="仿宋_GB2312" w:eastAsia="仿宋_GB2312" w:cs="仿宋"/>
                <w:color w:val="000000"/>
                <w:kern w:val="0"/>
                <w:sz w:val="24"/>
                <w:szCs w:val="24"/>
              </w:rPr>
              <w:t>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2"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涉农补贴</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未通过政府门户网站及时、规范、集中公开涉农补贴信息的（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涉农补贴</w:t>
            </w:r>
            <w:r>
              <w:rPr>
                <w:rFonts w:hint="eastAsia" w:ascii="仿宋_GB2312" w:eastAsia="仿宋_GB2312" w:cs="仿宋"/>
                <w:color w:val="000000"/>
                <w:kern w:val="0"/>
                <w:sz w:val="24"/>
                <w:szCs w:val="24"/>
              </w:rPr>
              <w:t>基层政务公开标准、</w:t>
            </w:r>
            <w:r>
              <w:rPr>
                <w:rFonts w:ascii="仿宋_GB2312" w:eastAsia="仿宋_GB2312" w:cs="仿宋"/>
                <w:color w:val="000000"/>
                <w:kern w:val="0"/>
                <w:sz w:val="24"/>
                <w:szCs w:val="24"/>
              </w:rPr>
              <w:t>补贴申报等</w:t>
            </w:r>
            <w:r>
              <w:rPr>
                <w:rFonts w:hint="eastAsia" w:ascii="仿宋_GB2312" w:eastAsia="仿宋_GB2312" w:cs="仿宋"/>
                <w:color w:val="000000"/>
                <w:kern w:val="0"/>
                <w:sz w:val="24"/>
                <w:szCs w:val="24"/>
              </w:rPr>
              <w:t>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公共文化服务</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spacing w:val="-6"/>
                <w:kern w:val="0"/>
                <w:sz w:val="24"/>
              </w:rPr>
            </w:pPr>
            <w:r>
              <w:rPr>
                <w:rFonts w:ascii="仿宋_GB2312" w:eastAsia="仿宋_GB2312"/>
                <w:spacing w:val="-6"/>
                <w:sz w:val="24"/>
              </w:rPr>
              <w:t>未通过政府门户网站及时、规范、集中公开公共文化服务信息的（</w:t>
            </w:r>
            <w:r>
              <w:rPr>
                <w:rFonts w:hint="eastAsia" w:ascii="仿宋_GB2312" w:eastAsia="仿宋_GB2312" w:cs="仿宋"/>
                <w:color w:val="000000"/>
                <w:spacing w:val="-6"/>
                <w:kern w:val="0"/>
                <w:sz w:val="24"/>
                <w:szCs w:val="24"/>
              </w:rPr>
              <w:t>如</w:t>
            </w:r>
            <w:r>
              <w:rPr>
                <w:rFonts w:ascii="仿宋_GB2312" w:eastAsia="仿宋_GB2312"/>
                <w:spacing w:val="-6"/>
                <w:sz w:val="24"/>
              </w:rPr>
              <w:t>公共文化服务</w:t>
            </w:r>
            <w:r>
              <w:rPr>
                <w:rFonts w:hint="eastAsia" w:ascii="仿宋_GB2312" w:eastAsia="仿宋_GB2312" w:cs="仿宋"/>
                <w:color w:val="000000"/>
                <w:spacing w:val="-6"/>
                <w:kern w:val="0"/>
                <w:sz w:val="24"/>
                <w:szCs w:val="24"/>
              </w:rPr>
              <w:t>基层政务公开标准、</w:t>
            </w:r>
            <w:r>
              <w:rPr>
                <w:rFonts w:ascii="仿宋_GB2312" w:eastAsia="仿宋_GB2312" w:cs="仿宋"/>
                <w:color w:val="000000"/>
                <w:spacing w:val="-6"/>
                <w:kern w:val="0"/>
                <w:sz w:val="24"/>
                <w:szCs w:val="24"/>
              </w:rPr>
              <w:t>公共文化机构免费开放、群众文化活动、展览讲座等</w:t>
            </w:r>
            <w:r>
              <w:rPr>
                <w:rFonts w:hint="eastAsia" w:ascii="仿宋_GB2312" w:eastAsia="仿宋_GB2312" w:cs="仿宋"/>
                <w:color w:val="000000"/>
                <w:spacing w:val="-6"/>
                <w:kern w:val="0"/>
                <w:sz w:val="24"/>
                <w:szCs w:val="24"/>
              </w:rPr>
              <w:t>信息</w:t>
            </w:r>
            <w:r>
              <w:rPr>
                <w:rFonts w:ascii="仿宋_GB2312" w:eastAsia="仿宋_GB2312"/>
                <w:spacing w:val="-6"/>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742" w:type="dxa"/>
            <w:vMerge w:val="continue"/>
            <w:tcBorders>
              <w:tl2br w:val="nil"/>
              <w:tr2bl w:val="nil"/>
            </w:tcBorders>
            <w:vAlign w:val="center"/>
          </w:tcPr>
          <w:p/>
        </w:tc>
        <w:tc>
          <w:tcPr>
            <w:tcW w:w="885" w:type="dxa"/>
            <w:vMerge w:val="continue"/>
            <w:tcBorders>
              <w:left w:val="single" w:color="auto" w:sz="4" w:space="0"/>
              <w:right w:val="single" w:color="auto" w:sz="4" w:space="0"/>
              <w:tl2br w:val="nil"/>
              <w:tr2bl w:val="nil"/>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社会救助</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sz w:val="24"/>
              </w:rPr>
            </w:pPr>
            <w:r>
              <w:rPr>
                <w:rFonts w:ascii="仿宋_GB2312" w:eastAsia="仿宋_GB2312"/>
                <w:sz w:val="24"/>
              </w:rPr>
              <w:t>未通过政府门户网站及时、规范、集中公开</w:t>
            </w:r>
            <w:r>
              <w:rPr>
                <w:rFonts w:ascii="仿宋_GB2312" w:eastAsia="仿宋_GB2312" w:cs="仿宋"/>
                <w:color w:val="000000"/>
                <w:kern w:val="0"/>
                <w:sz w:val="24"/>
              </w:rPr>
              <w:t>社会救助</w:t>
            </w:r>
            <w:r>
              <w:rPr>
                <w:rFonts w:ascii="仿宋_GB2312" w:eastAsia="仿宋_GB2312"/>
                <w:sz w:val="24"/>
              </w:rPr>
              <w:t>信息的（</w:t>
            </w:r>
            <w:r>
              <w:rPr>
                <w:rFonts w:hint="eastAsia" w:ascii="仿宋_GB2312" w:eastAsia="仿宋_GB2312" w:cs="仿宋"/>
                <w:color w:val="000000"/>
                <w:kern w:val="0"/>
                <w:sz w:val="24"/>
                <w:szCs w:val="24"/>
              </w:rPr>
              <w:t>如</w:t>
            </w:r>
            <w:r>
              <w:rPr>
                <w:rFonts w:ascii="仿宋_GB2312" w:eastAsia="仿宋_GB2312" w:cs="仿宋"/>
                <w:color w:val="000000"/>
                <w:kern w:val="0"/>
                <w:sz w:val="24"/>
              </w:rPr>
              <w:t>社会救助</w:t>
            </w:r>
            <w:r>
              <w:rPr>
                <w:rFonts w:hint="eastAsia" w:ascii="仿宋_GB2312" w:eastAsia="仿宋_GB2312" w:cs="仿宋"/>
                <w:color w:val="000000"/>
                <w:kern w:val="0"/>
                <w:sz w:val="24"/>
                <w:szCs w:val="24"/>
              </w:rPr>
              <w:t>基层政务公开标准、</w:t>
            </w:r>
            <w:r>
              <w:rPr>
                <w:rFonts w:ascii="仿宋_GB2312" w:eastAsia="仿宋_GB2312" w:cs="仿宋"/>
                <w:color w:val="000000"/>
                <w:kern w:val="0"/>
                <w:sz w:val="24"/>
                <w:szCs w:val="24"/>
              </w:rPr>
              <w:t>救助政策、办事指南、监督检查等</w:t>
            </w:r>
            <w:r>
              <w:rPr>
                <w:rFonts w:hint="eastAsia" w:ascii="仿宋_GB2312" w:eastAsia="仿宋_GB2312" w:cs="仿宋"/>
                <w:color w:val="000000"/>
                <w:kern w:val="0"/>
                <w:sz w:val="24"/>
                <w:szCs w:val="24"/>
              </w:rPr>
              <w:t>信息</w:t>
            </w:r>
            <w:r>
              <w:rPr>
                <w:rFonts w:ascii="仿宋_GB2312" w:eastAsia="仿宋_GB2312"/>
                <w:sz w:val="24"/>
              </w:rPr>
              <w:t>），发现一件扣1分，扣分上限4分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atLeast"/>
          <w:jc w:val="center"/>
        </w:trPr>
        <w:tc>
          <w:tcPr>
            <w:tcW w:w="742" w:type="dxa"/>
            <w:vMerge w:val="continue"/>
            <w:tcBorders>
              <w:tl2br w:val="nil"/>
              <w:tr2bl w:val="nil"/>
            </w:tcBorders>
            <w:vAlign w:val="center"/>
          </w:tcPr>
          <w:p>
            <w:pPr>
              <w:ind w:left="0"/>
              <w:jc w:val="center"/>
            </w:pPr>
          </w:p>
        </w:tc>
        <w:tc>
          <w:tcPr>
            <w:tcW w:w="2618" w:type="dxa"/>
            <w:gridSpan w:val="2"/>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文件公开属性认定</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2</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正式印发的文件未认定公开属性或公开属性认定错误的，每件扣1分，扣分上限2分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2" w:type="dxa"/>
            <w:vMerge w:val="continue"/>
            <w:tcBorders>
              <w:tl2br w:val="nil"/>
              <w:tr2bl w:val="nil"/>
            </w:tcBorders>
            <w:vAlign w:val="center"/>
          </w:tcPr>
          <w:p/>
        </w:tc>
        <w:tc>
          <w:tcPr>
            <w:tcW w:w="2618" w:type="dxa"/>
            <w:gridSpan w:val="2"/>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政府信息公开年报质量</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2</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年报内容不符合国家规定、格式不规范、超期发布的，有一项扣1分，扣分上限2分</w:t>
            </w:r>
          </w:p>
        </w:tc>
        <w:tc>
          <w:tcPr>
            <w:tcW w:w="235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220" w:type="dxa"/>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42" w:type="dxa"/>
            <w:vMerge w:val="restart"/>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依</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申</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请</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公</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开</w:t>
            </w:r>
          </w:p>
        </w:tc>
        <w:tc>
          <w:tcPr>
            <w:tcW w:w="2618" w:type="dxa"/>
            <w:gridSpan w:val="2"/>
            <w:tcBorders>
              <w:left w:val="single" w:color="auto" w:sz="4" w:space="0"/>
              <w:right w:val="single" w:color="auto" w:sz="4" w:space="0"/>
            </w:tcBorders>
            <w:vAlign w:val="center"/>
          </w:tcPr>
          <w:p>
            <w:pPr>
              <w:widowControl/>
              <w:spacing w:line="300" w:lineRule="exact"/>
              <w:jc w:val="center"/>
              <w:rPr>
                <w:rFonts w:hint="eastAsia" w:ascii="仿宋_GB2312" w:eastAsia="仿宋_GB2312"/>
                <w:sz w:val="24"/>
              </w:rPr>
            </w:pPr>
            <w:r>
              <w:rPr>
                <w:rFonts w:hint="eastAsia" w:ascii="仿宋_GB2312" w:eastAsia="仿宋_GB2312"/>
                <w:sz w:val="24"/>
              </w:rPr>
              <w:t>规范</w:t>
            </w:r>
            <w:r>
              <w:rPr>
                <w:rFonts w:hint="eastAsia" w:ascii="仿宋_GB2312" w:eastAsia="仿宋_GB2312" w:cs="仿宋"/>
                <w:color w:val="000000"/>
                <w:kern w:val="0"/>
                <w:sz w:val="24"/>
              </w:rPr>
              <w:t>答复</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2</w:t>
            </w:r>
          </w:p>
        </w:tc>
        <w:tc>
          <w:tcPr>
            <w:tcW w:w="5297"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抽查本年度2件依申请公开答复案卷，答复办理不规范的，每件扣1分</w:t>
            </w:r>
            <w:r>
              <w:rPr>
                <w:rFonts w:ascii="仿宋_GB2312" w:eastAsia="仿宋_GB2312" w:cs="仿宋"/>
                <w:color w:val="000000"/>
                <w:kern w:val="0"/>
                <w:sz w:val="24"/>
              </w:rPr>
              <w:t>，</w:t>
            </w:r>
            <w:r>
              <w:rPr>
                <w:rFonts w:hint="eastAsia" w:ascii="仿宋_GB2312" w:eastAsia="仿宋_GB2312" w:cs="仿宋"/>
                <w:color w:val="000000"/>
                <w:kern w:val="0"/>
                <w:sz w:val="24"/>
              </w:rPr>
              <w:t>扣分上限为2分</w:t>
            </w:r>
          </w:p>
        </w:tc>
        <w:tc>
          <w:tcPr>
            <w:tcW w:w="2355" w:type="dxa"/>
            <w:tcBorders>
              <w:left w:val="single" w:color="auto" w:sz="4" w:space="0"/>
              <w:right w:val="single" w:color="auto" w:sz="4" w:space="0"/>
            </w:tcBorders>
            <w:vAlign w:val="center"/>
          </w:tcPr>
          <w:p>
            <w:pPr>
              <w:jc w:val="center"/>
              <w:rPr>
                <w:rFonts w:hint="eastAsia" w:ascii="仿宋_GB2312" w:eastAsia="仿宋_GB2312"/>
                <w:sz w:val="24"/>
              </w:rPr>
            </w:pPr>
            <w:r>
              <w:rPr>
                <w:rFonts w:hint="eastAsia" w:ascii="仿宋_GB2312" w:eastAsia="仿宋_GB2312"/>
                <w:sz w:val="24"/>
              </w:rPr>
              <w:t>－</w:t>
            </w:r>
          </w:p>
        </w:tc>
        <w:tc>
          <w:tcPr>
            <w:tcW w:w="2220" w:type="dxa"/>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根据</w:t>
            </w:r>
            <w:r>
              <w:rPr>
                <w:rFonts w:hint="eastAsia" w:ascii="仿宋_GB2312" w:eastAsia="仿宋_GB2312" w:cs="仿宋"/>
                <w:color w:val="000000"/>
                <w:kern w:val="0"/>
                <w:sz w:val="24"/>
              </w:rPr>
              <w:t>抽查</w:t>
            </w:r>
            <w:r>
              <w:rPr>
                <w:rFonts w:ascii="仿宋_GB2312" w:eastAsia="仿宋_GB2312" w:cs="仿宋"/>
                <w:color w:val="000000"/>
                <w:kern w:val="0"/>
                <w:sz w:val="24"/>
              </w:rPr>
              <w:t>情况扣分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jc w:val="center"/>
        </w:trPr>
        <w:tc>
          <w:tcPr>
            <w:tcW w:w="742" w:type="dxa"/>
            <w:vMerge w:val="continue"/>
            <w:vAlign w:val="center"/>
          </w:tcPr>
          <w:p/>
        </w:tc>
        <w:tc>
          <w:tcPr>
            <w:tcW w:w="2618" w:type="dxa"/>
            <w:gridSpan w:val="2"/>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答复市政府转办</w:t>
            </w:r>
          </w:p>
          <w:p>
            <w:pPr>
              <w:widowControl/>
              <w:spacing w:line="300" w:lineRule="exact"/>
              <w:jc w:val="center"/>
              <w:rPr>
                <w:rFonts w:ascii="仿宋_GB2312" w:eastAsia="仿宋_GB2312"/>
                <w:sz w:val="24"/>
              </w:rPr>
            </w:pPr>
            <w:r>
              <w:rPr>
                <w:rFonts w:ascii="仿宋_GB2312" w:eastAsia="仿宋_GB2312"/>
                <w:sz w:val="24"/>
              </w:rPr>
              <w:t>依申请公开情况</w:t>
            </w:r>
          </w:p>
        </w:tc>
        <w:tc>
          <w:tcPr>
            <w:tcW w:w="510" w:type="dxa"/>
            <w:tcBorders>
              <w:left w:val="single" w:color="auto" w:sz="4" w:space="0"/>
              <w:right w:val="single" w:color="auto" w:sz="4" w:space="0"/>
              <w:tl2br w:val="nil"/>
              <w:tr2bl w:val="nil"/>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2</w:t>
            </w:r>
          </w:p>
        </w:tc>
        <w:tc>
          <w:tcPr>
            <w:tcW w:w="5297" w:type="dxa"/>
            <w:tcBorders>
              <w:left w:val="single" w:color="auto" w:sz="4" w:space="0"/>
              <w:right w:val="single" w:color="auto" w:sz="4" w:space="0"/>
              <w:tl2br w:val="nil"/>
              <w:tr2bl w:val="nil"/>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答复市政府转办的信息公开申请时，答复不规范、不及时的，每件扣1分，</w:t>
            </w:r>
            <w:r>
              <w:rPr>
                <w:rFonts w:hint="eastAsia" w:ascii="仿宋_GB2312" w:eastAsia="仿宋_GB2312" w:cs="仿宋"/>
                <w:color w:val="000000"/>
                <w:kern w:val="0"/>
                <w:sz w:val="24"/>
              </w:rPr>
              <w:t>扣分上限为2分</w:t>
            </w:r>
          </w:p>
        </w:tc>
        <w:tc>
          <w:tcPr>
            <w:tcW w:w="2355" w:type="dxa"/>
            <w:tcBorders>
              <w:left w:val="single" w:color="auto" w:sz="4" w:space="0"/>
              <w:right w:val="single" w:color="auto" w:sz="4" w:space="0"/>
              <w:tl2br w:val="nil"/>
              <w:tr2bl w:val="nil"/>
            </w:tcBorders>
            <w:vAlign w:val="center"/>
          </w:tcPr>
          <w:p>
            <w:pPr>
              <w:jc w:val="center"/>
              <w:rPr>
                <w:rFonts w:ascii="仿宋_GB2312" w:eastAsia="仿宋_GB2312"/>
                <w:sz w:val="24"/>
              </w:rPr>
            </w:pPr>
            <w:r>
              <w:rPr>
                <w:rFonts w:hint="eastAsia" w:ascii="仿宋_GB2312" w:eastAsia="仿宋_GB2312"/>
                <w:sz w:val="24"/>
              </w:rPr>
              <w:t>－</w:t>
            </w:r>
          </w:p>
        </w:tc>
        <w:tc>
          <w:tcPr>
            <w:tcW w:w="2220" w:type="dxa"/>
            <w:tcBorders>
              <w:tl2br w:val="nil"/>
              <w:tr2bl w:val="nil"/>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根据市政府办公室工作记录扣分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atLeast"/>
          <w:jc w:val="center"/>
        </w:trPr>
        <w:tc>
          <w:tcPr>
            <w:tcW w:w="742" w:type="dxa"/>
            <w:vMerge w:val="restart"/>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政策解及</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公众参与</w:t>
            </w:r>
          </w:p>
          <w:p>
            <w:pPr>
              <w:widowControl/>
              <w:spacing w:line="300" w:lineRule="exact"/>
              <w:jc w:val="center"/>
              <w:rPr>
                <w:rFonts w:ascii="仿宋_GB2312" w:eastAsia="仿宋_GB2312" w:cs="仿宋"/>
                <w:color w:val="000000"/>
                <w:kern w:val="0"/>
                <w:sz w:val="24"/>
              </w:rPr>
            </w:pPr>
          </w:p>
        </w:tc>
        <w:tc>
          <w:tcPr>
            <w:tcW w:w="885" w:type="dxa"/>
            <w:vMerge w:val="restart"/>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政策解读</w:t>
            </w:r>
          </w:p>
        </w:tc>
        <w:tc>
          <w:tcPr>
            <w:tcW w:w="1733"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解读责任</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sz w:val="24"/>
              </w:rPr>
            </w:pPr>
            <w:r>
              <w:rPr>
                <w:rFonts w:ascii="仿宋_GB2312" w:eastAsia="仿宋_GB2312"/>
                <w:sz w:val="24"/>
              </w:rPr>
              <w:t>2</w:t>
            </w:r>
          </w:p>
        </w:tc>
        <w:tc>
          <w:tcPr>
            <w:tcW w:w="5297"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政策文件</w:t>
            </w:r>
            <w:r>
              <w:rPr>
                <w:rFonts w:ascii="仿宋_GB2312" w:eastAsia="仿宋_GB2312" w:cs="仿宋"/>
                <w:color w:val="000000"/>
                <w:kern w:val="0"/>
                <w:sz w:val="24"/>
              </w:rPr>
              <w:t>未作解读，也没有说明不作解读的理由和依据的</w:t>
            </w:r>
            <w:r>
              <w:rPr>
                <w:rFonts w:hint="eastAsia" w:ascii="仿宋_GB2312" w:eastAsia="仿宋_GB2312" w:cs="仿宋"/>
                <w:color w:val="000000"/>
                <w:kern w:val="0"/>
                <w:sz w:val="24"/>
              </w:rPr>
              <w:t>，每一件扣1分</w:t>
            </w:r>
            <w:r>
              <w:rPr>
                <w:rFonts w:ascii="仿宋_GB2312" w:eastAsia="仿宋_GB2312" w:cs="仿宋"/>
                <w:color w:val="000000"/>
                <w:kern w:val="0"/>
                <w:sz w:val="24"/>
              </w:rPr>
              <w:t>，</w:t>
            </w:r>
            <w:r>
              <w:rPr>
                <w:rFonts w:hint="eastAsia" w:ascii="仿宋_GB2312" w:eastAsia="仿宋_GB2312" w:cs="仿宋"/>
                <w:color w:val="000000"/>
                <w:kern w:val="0"/>
                <w:sz w:val="24"/>
              </w:rPr>
              <w:t>扣分上限为</w:t>
            </w:r>
            <w:r>
              <w:rPr>
                <w:rFonts w:ascii="仿宋_GB2312" w:eastAsia="仿宋_GB2312" w:cs="仿宋"/>
                <w:color w:val="000000"/>
                <w:kern w:val="0"/>
                <w:sz w:val="24"/>
              </w:rPr>
              <w:t>2</w:t>
            </w:r>
            <w:r>
              <w:rPr>
                <w:rFonts w:hint="eastAsia" w:ascii="仿宋_GB2312" w:eastAsia="仿宋_GB2312" w:cs="仿宋"/>
                <w:color w:val="000000"/>
                <w:kern w:val="0"/>
                <w:sz w:val="24"/>
              </w:rPr>
              <w:t>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解读质量</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2</w:t>
            </w:r>
          </w:p>
        </w:tc>
        <w:tc>
          <w:tcPr>
            <w:tcW w:w="5297"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解读材料简单罗列标题、无实质性解读的，</w:t>
            </w:r>
            <w:r>
              <w:rPr>
                <w:rFonts w:hint="eastAsia" w:ascii="仿宋_GB2312" w:eastAsia="仿宋_GB2312" w:cs="仿宋"/>
                <w:color w:val="000000"/>
                <w:kern w:val="0"/>
                <w:sz w:val="24"/>
              </w:rPr>
              <w:t>每一件扣1分</w:t>
            </w:r>
            <w:r>
              <w:rPr>
                <w:rFonts w:ascii="仿宋_GB2312" w:eastAsia="仿宋_GB2312" w:cs="仿宋"/>
                <w:color w:val="000000"/>
                <w:kern w:val="0"/>
                <w:sz w:val="24"/>
              </w:rPr>
              <w:t>，</w:t>
            </w:r>
            <w:r>
              <w:rPr>
                <w:rFonts w:hint="eastAsia" w:ascii="仿宋_GB2312" w:eastAsia="仿宋_GB2312" w:cs="仿宋"/>
                <w:color w:val="000000"/>
                <w:kern w:val="0"/>
                <w:sz w:val="24"/>
              </w:rPr>
              <w:t>扣分上限为</w:t>
            </w:r>
            <w:r>
              <w:rPr>
                <w:rFonts w:ascii="仿宋_GB2312" w:eastAsia="仿宋_GB2312" w:cs="仿宋"/>
                <w:color w:val="000000"/>
                <w:kern w:val="0"/>
                <w:sz w:val="24"/>
              </w:rPr>
              <w:t>2</w:t>
            </w:r>
            <w:r>
              <w:rPr>
                <w:rFonts w:hint="eastAsia" w:ascii="仿宋_GB2312" w:eastAsia="仿宋_GB2312" w:cs="仿宋"/>
                <w:color w:val="000000"/>
                <w:kern w:val="0"/>
                <w:sz w:val="24"/>
              </w:rPr>
              <w:t>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6"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多样化解读</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5297"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355"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通过文字解读、图片解读、音频解读、视频解读、政策宣讲会、新闻发布会、培训会等方式中三种及以上方式开展政策解读的，</w:t>
            </w:r>
            <w:r>
              <w:rPr>
                <w:rFonts w:hint="eastAsia" w:ascii="仿宋_GB2312" w:eastAsia="仿宋_GB2312" w:cs="仿宋"/>
                <w:color w:val="000000"/>
                <w:kern w:val="0"/>
                <w:sz w:val="24"/>
              </w:rPr>
              <w:t>每一</w:t>
            </w:r>
            <w:r>
              <w:rPr>
                <w:rFonts w:ascii="仿宋_GB2312" w:eastAsia="仿宋_GB2312" w:cs="仿宋"/>
                <w:color w:val="000000"/>
                <w:kern w:val="0"/>
                <w:sz w:val="24"/>
              </w:rPr>
              <w:t>文件</w:t>
            </w:r>
            <w:r>
              <w:rPr>
                <w:rFonts w:hint="eastAsia" w:ascii="仿宋_GB2312" w:eastAsia="仿宋_GB2312" w:cs="仿宋"/>
                <w:color w:val="000000"/>
                <w:kern w:val="0"/>
                <w:sz w:val="24"/>
              </w:rPr>
              <w:t>加</w:t>
            </w:r>
            <w:r>
              <w:rPr>
                <w:rFonts w:ascii="仿宋_GB2312" w:eastAsia="仿宋_GB2312" w:cs="仿宋"/>
                <w:color w:val="000000"/>
                <w:kern w:val="0"/>
                <w:sz w:val="24"/>
              </w:rPr>
              <w:t>2</w:t>
            </w:r>
            <w:r>
              <w:rPr>
                <w:rFonts w:hint="eastAsia" w:ascii="仿宋_GB2312" w:eastAsia="仿宋_GB2312" w:cs="仿宋"/>
                <w:color w:val="000000"/>
                <w:kern w:val="0"/>
                <w:sz w:val="24"/>
              </w:rPr>
              <w:t>分</w:t>
            </w:r>
            <w:r>
              <w:rPr>
                <w:rFonts w:ascii="仿宋_GB2312" w:eastAsia="仿宋_GB2312" w:cs="仿宋"/>
                <w:color w:val="000000"/>
                <w:kern w:val="0"/>
                <w:sz w:val="24"/>
              </w:rPr>
              <w:t>，加分上限6分</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7" w:hRule="atLeast"/>
          <w:jc w:val="center"/>
        </w:trPr>
        <w:tc>
          <w:tcPr>
            <w:tcW w:w="742" w:type="dxa"/>
            <w:vMerge w:val="continue"/>
            <w:tcBorders>
              <w:tl2br w:val="nil"/>
              <w:tr2bl w:val="nil"/>
            </w:tcBorders>
            <w:vAlign w:val="center"/>
          </w:tcPr>
          <w:p>
            <w:pPr>
              <w:widowControl/>
              <w:spacing w:line="300" w:lineRule="exact"/>
              <w:jc w:val="center"/>
              <w:rPr>
                <w:rFonts w:ascii="仿宋_GB2312" w:eastAsia="仿宋_GB2312" w:cs="仿宋"/>
                <w:color w:val="000000"/>
                <w:kern w:val="0"/>
                <w:sz w:val="24"/>
              </w:rPr>
            </w:pPr>
          </w:p>
        </w:tc>
        <w:tc>
          <w:tcPr>
            <w:tcW w:w="885"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互动咨询</w:t>
            </w: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互动质量</w:t>
            </w:r>
          </w:p>
        </w:tc>
        <w:tc>
          <w:tcPr>
            <w:tcW w:w="510"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答复市长信箱转办通知时，答复不及时、质量不高、推诿、敷衍的，每一件扣1分，扣分上限3分；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本级政府领导信箱答复质量不高的，扣1分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42" w:type="dxa"/>
            <w:vMerge w:val="restart"/>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开</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渠</w:t>
            </w:r>
          </w:p>
          <w:p>
            <w:pPr>
              <w:jc w:val="center"/>
              <w:rPr>
                <w:rFonts w:ascii="仿宋_GB2312" w:eastAsia="仿宋_GB2312" w:cs="仿宋"/>
                <w:color w:val="000000"/>
                <w:kern w:val="0"/>
                <w:sz w:val="24"/>
              </w:rPr>
            </w:pPr>
            <w:r>
              <w:rPr>
                <w:rFonts w:ascii="仿宋_GB2312" w:eastAsia="仿宋_GB2312" w:cs="仿宋"/>
                <w:color w:val="000000"/>
                <w:kern w:val="0"/>
                <w:sz w:val="24"/>
              </w:rPr>
              <w:t>道</w:t>
            </w:r>
          </w:p>
          <w:p>
            <w:pPr>
              <w:widowControl/>
              <w:spacing w:line="300" w:lineRule="exact"/>
              <w:jc w:val="center"/>
              <w:rPr>
                <w:rFonts w:ascii="仿宋_GB2312" w:eastAsia="仿宋_GB2312" w:cs="仿宋"/>
                <w:color w:val="000000"/>
                <w:kern w:val="0"/>
                <w:sz w:val="24"/>
              </w:rPr>
            </w:pPr>
          </w:p>
        </w:tc>
        <w:tc>
          <w:tcPr>
            <w:tcW w:w="885" w:type="dxa"/>
            <w:vMerge w:val="restart"/>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政府网站和政务新媒体</w:t>
            </w:r>
          </w:p>
          <w:p>
            <w:pPr>
              <w:widowControl/>
              <w:spacing w:line="300" w:lineRule="exact"/>
              <w:jc w:val="center"/>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网站信息维护</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10</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spacing w:val="-6"/>
                <w:kern w:val="0"/>
                <w:sz w:val="24"/>
              </w:rPr>
            </w:pPr>
            <w:r>
              <w:rPr>
                <w:rFonts w:ascii="仿宋_GB2312" w:eastAsia="仿宋_GB2312" w:cs="仿宋"/>
                <w:color w:val="000000"/>
                <w:spacing w:val="-6"/>
                <w:kern w:val="0"/>
                <w:sz w:val="24"/>
              </w:rPr>
              <w:t>门户网站主要页面、栏目更新维护不及时的，扣4分；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因存在安全事故、严重表述错误、断链错链等问题被通报或约谈的，每通报或约谈一次扣3分，扣分上限6分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tcBorders>
              <w:tl2br w:val="nil"/>
              <w:tr2bl w:val="nil"/>
            </w:tcBorders>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w:t>
            </w:r>
            <w:r>
              <w:rPr>
                <w:rFonts w:ascii="仿宋_GB2312" w:eastAsia="仿宋_GB2312" w:cs="仿宋"/>
                <w:color w:val="000000"/>
                <w:kern w:val="0"/>
                <w:sz w:val="24"/>
              </w:rPr>
              <w:t>+查询通报约谈记录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网站年度报表</w:t>
            </w:r>
          </w:p>
        </w:tc>
        <w:tc>
          <w:tcPr>
            <w:tcW w:w="510"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1</w:t>
            </w:r>
          </w:p>
        </w:tc>
        <w:tc>
          <w:tcPr>
            <w:tcW w:w="5297"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网站年度报表内容不符合国家规定、格式不规范、超期发布的，扣1分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政务新媒体</w:t>
            </w:r>
          </w:p>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信息维护</w:t>
            </w:r>
          </w:p>
        </w:tc>
        <w:tc>
          <w:tcPr>
            <w:tcW w:w="510" w:type="dxa"/>
            <w:tcBorders>
              <w:left w:val="single" w:color="auto" w:sz="4" w:space="0"/>
              <w:right w:val="single" w:color="auto" w:sz="4" w:space="0"/>
            </w:tcBorders>
            <w:vAlign w:val="center"/>
          </w:tcPr>
          <w:p>
            <w:pPr>
              <w:widowControl/>
              <w:jc w:val="center"/>
              <w:rPr>
                <w:rFonts w:hint="eastAsia" w:ascii="仿宋_GB2312" w:eastAsia="仿宋_GB2312" w:cs="仿宋"/>
                <w:color w:val="000000"/>
                <w:kern w:val="0"/>
                <w:sz w:val="24"/>
              </w:rPr>
            </w:pPr>
            <w:r>
              <w:rPr>
                <w:rFonts w:ascii="仿宋_GB2312" w:eastAsia="仿宋_GB2312" w:cs="仿宋"/>
                <w:color w:val="000000"/>
                <w:kern w:val="0"/>
                <w:sz w:val="24"/>
              </w:rPr>
              <w:t>13</w:t>
            </w:r>
          </w:p>
        </w:tc>
        <w:tc>
          <w:tcPr>
            <w:tcW w:w="5297"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已开设的政务新媒体更新不及时、功能不可用的，扣4分；</w:t>
            </w:r>
          </w:p>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违规开设政务新媒体的，扣3分；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因存在安全事故、严重表述错误、断链错链等问题被通报或约谈的，每通报或约谈一次扣3分，扣分上限6分</w:t>
            </w:r>
          </w:p>
        </w:tc>
        <w:tc>
          <w:tcPr>
            <w:tcW w:w="235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w:t>
            </w:r>
            <w:r>
              <w:rPr>
                <w:rFonts w:ascii="仿宋_GB2312" w:eastAsia="仿宋_GB2312" w:cs="仿宋"/>
                <w:color w:val="000000"/>
                <w:kern w:val="0"/>
                <w:sz w:val="24"/>
              </w:rPr>
              <w:t>+查询通报约谈记录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742" w:type="dxa"/>
            <w:vMerge w:val="continue"/>
            <w:vAlign w:val="center"/>
          </w:tcPr>
          <w:p/>
        </w:tc>
        <w:tc>
          <w:tcPr>
            <w:tcW w:w="885" w:type="dxa"/>
            <w:vMerge w:val="continue"/>
            <w:tcBorders>
              <w:left w:val="single" w:color="auto" w:sz="4" w:space="0"/>
              <w:right w:val="single" w:color="auto" w:sz="4" w:space="0"/>
            </w:tcBorders>
            <w:vAlign w:val="center"/>
          </w:tc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网站和新媒体</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整改情况</w:t>
            </w:r>
          </w:p>
        </w:tc>
        <w:tc>
          <w:tcPr>
            <w:tcW w:w="510" w:type="dxa"/>
            <w:tcBorders>
              <w:left w:val="single" w:color="auto" w:sz="4" w:space="0"/>
              <w:right w:val="single" w:color="auto" w:sz="4" w:space="0"/>
            </w:tcBorders>
            <w:vAlign w:val="center"/>
          </w:tcPr>
          <w:p>
            <w:pPr>
              <w:widowControl/>
              <w:jc w:val="center"/>
              <w:rPr>
                <w:rFonts w:ascii="仿宋_GB2312" w:eastAsia="仿宋_GB2312" w:cs="仿宋"/>
                <w:color w:val="000000"/>
                <w:kern w:val="0"/>
                <w:sz w:val="24"/>
              </w:rPr>
            </w:pPr>
            <w:r>
              <w:rPr>
                <w:rFonts w:ascii="仿宋_GB2312" w:eastAsia="仿宋_GB2312" w:cs="仿宋"/>
                <w:color w:val="000000"/>
                <w:kern w:val="0"/>
                <w:sz w:val="24"/>
              </w:rPr>
              <w:t>4</w:t>
            </w:r>
          </w:p>
        </w:tc>
        <w:tc>
          <w:tcPr>
            <w:tcW w:w="5297"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未根据国办、省政府办公厅、市政府办公室通报情况整改落实的，有一次扣2分，扣分上限4分</w:t>
            </w:r>
          </w:p>
        </w:tc>
        <w:tc>
          <w:tcPr>
            <w:tcW w:w="2355"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查询通报情况+被考核单位提供相关印证材料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742" w:type="dxa"/>
            <w:vMerge w:val="continue"/>
            <w:tcBorders>
              <w:tl2br w:val="nil"/>
              <w:tr2bl w:val="nil"/>
            </w:tcBorders>
            <w:vAlign w:val="center"/>
          </w:tcPr>
          <w:p>
            <w:pPr>
              <w:widowControl/>
              <w:spacing w:line="300" w:lineRule="exact"/>
              <w:jc w:val="center"/>
              <w:rPr>
                <w:rFonts w:ascii="仿宋_GB2312" w:eastAsia="仿宋_GB2312" w:cs="仿宋"/>
                <w:color w:val="000000"/>
                <w:kern w:val="0"/>
                <w:sz w:val="24"/>
              </w:rPr>
            </w:pPr>
          </w:p>
        </w:tc>
        <w:tc>
          <w:tcPr>
            <w:tcW w:w="885" w:type="dxa"/>
            <w:vMerge w:val="continue"/>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p>
        </w:tc>
        <w:tc>
          <w:tcPr>
            <w:tcW w:w="1733"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网站与新媒体报送系统数据维护情况</w:t>
            </w:r>
          </w:p>
        </w:tc>
        <w:tc>
          <w:tcPr>
            <w:tcW w:w="510" w:type="dxa"/>
            <w:tcBorders>
              <w:left w:val="single" w:color="auto" w:sz="4" w:space="0"/>
              <w:right w:val="single" w:color="auto" w:sz="4" w:space="0"/>
            </w:tcBorders>
            <w:vAlign w:val="center"/>
          </w:tcPr>
          <w:p>
            <w:pPr>
              <w:widowControl/>
              <w:jc w:val="center"/>
              <w:rPr>
                <w:rFonts w:ascii="仿宋_GB2312" w:eastAsia="仿宋_GB2312" w:cs="仿宋"/>
                <w:color w:val="000000"/>
                <w:kern w:val="0"/>
                <w:sz w:val="24"/>
              </w:rPr>
            </w:pPr>
            <w:r>
              <w:rPr>
                <w:rFonts w:ascii="仿宋_GB2312" w:eastAsia="仿宋_GB2312" w:cs="仿宋"/>
                <w:color w:val="000000"/>
                <w:kern w:val="0"/>
                <w:sz w:val="24"/>
              </w:rPr>
              <w:t>1</w:t>
            </w:r>
          </w:p>
        </w:tc>
        <w:tc>
          <w:tcPr>
            <w:tcW w:w="5297"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全国政府网站信息报送系统、全国政务新媒体信息报送系统中信息更新维护不准确、不及时的，或存在漏报瞒报的，扣1分</w:t>
            </w:r>
          </w:p>
        </w:tc>
        <w:tc>
          <w:tcPr>
            <w:tcW w:w="2355"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w:t>
            </w:r>
          </w:p>
        </w:tc>
        <w:tc>
          <w:tcPr>
            <w:tcW w:w="2220" w:type="dxa"/>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根据国办及省、市通报倒查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42" w:type="dxa"/>
            <w:vMerge w:val="continue"/>
            <w:tcBorders>
              <w:tl2br w:val="nil"/>
              <w:tr2bl w:val="nil"/>
            </w:tcBorders>
            <w:vAlign w:val="center"/>
          </w:tcPr>
          <w:p/>
        </w:tc>
        <w:tc>
          <w:tcPr>
            <w:tcW w:w="2618" w:type="dxa"/>
            <w:gridSpan w:val="2"/>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政府公报</w:t>
            </w:r>
          </w:p>
        </w:tc>
        <w:tc>
          <w:tcPr>
            <w:tcW w:w="510" w:type="dxa"/>
            <w:tcBorders>
              <w:left w:val="single" w:color="auto" w:sz="4" w:space="0"/>
              <w:right w:val="single" w:color="auto" w:sz="4" w:space="0"/>
            </w:tcBorders>
            <w:vAlign w:val="center"/>
          </w:tcPr>
          <w:p>
            <w:pPr>
              <w:widowControl/>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97"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超期出版、出版形式不规范、电子版和纸质版不一致的，有一项扣1分，扣分上限3分</w:t>
            </w:r>
          </w:p>
        </w:tc>
        <w:tc>
          <w:tcPr>
            <w:tcW w:w="2355"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spacing w:val="0"/>
                <w:kern w:val="0"/>
                <w:sz w:val="24"/>
              </w:rPr>
            </w:pPr>
            <w:r>
              <w:rPr>
                <w:rFonts w:ascii="仿宋_GB2312" w:eastAsia="仿宋_GB2312" w:cs="仿宋"/>
                <w:color w:val="000000"/>
                <w:spacing w:val="0"/>
                <w:kern w:val="0"/>
                <w:sz w:val="24"/>
              </w:rPr>
              <w:t>在政务新媒体上设置政府专栏，目录导航明晰、内容更新及时的，+1分；</w:t>
            </w:r>
          </w:p>
          <w:p>
            <w:pPr>
              <w:widowControl/>
              <w:spacing w:line="300" w:lineRule="exact"/>
              <w:jc w:val="left"/>
              <w:rPr>
                <w:rFonts w:ascii="仿宋_GB2312" w:eastAsia="仿宋_GB2312" w:cs="仿宋"/>
                <w:color w:val="000000"/>
                <w:spacing w:val="0"/>
                <w:kern w:val="0"/>
                <w:sz w:val="24"/>
              </w:rPr>
            </w:pPr>
            <w:r>
              <w:rPr>
                <w:rFonts w:ascii="仿宋_GB2312" w:eastAsia="仿宋_GB2312" w:cs="仿宋"/>
                <w:color w:val="000000"/>
                <w:spacing w:val="0"/>
                <w:kern w:val="0"/>
                <w:sz w:val="24"/>
              </w:rPr>
              <w:t>其他方面有创新的，+1分</w:t>
            </w:r>
          </w:p>
        </w:tc>
        <w:tc>
          <w:tcPr>
            <w:tcW w:w="2220" w:type="dxa"/>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742" w:type="dxa"/>
            <w:vAlign w:val="center"/>
          </w:tcPr>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综</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合</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加</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分</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项</w:t>
            </w:r>
          </w:p>
        </w:tc>
        <w:tc>
          <w:tcPr>
            <w:tcW w:w="10780" w:type="dxa"/>
            <w:gridSpan w:val="5"/>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（一）因成绩突出受到国家级、省部级表彰的先进或优秀单位（可累计），每项加5分；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（二）因成绩突出，被人民日报、中国政府网、中央电视台、新华网主站正面专题报道的；被省领导批示表扬或在全省大会上点名表扬的，每项加3分；</w:t>
            </w:r>
          </w:p>
          <w:p>
            <w:pPr>
              <w:widowControl/>
              <w:spacing w:line="300" w:lineRule="exact"/>
              <w:jc w:val="left"/>
              <w:rPr>
                <w:rFonts w:hint="eastAsia" w:ascii="仿宋_GB2312" w:eastAsia="仿宋_GB2312" w:cs="仿宋"/>
                <w:color w:val="000000"/>
                <w:kern w:val="0"/>
                <w:sz w:val="24"/>
              </w:rPr>
            </w:pPr>
            <w:r>
              <w:rPr>
                <w:rFonts w:ascii="仿宋_GB2312" w:eastAsia="仿宋_GB2312" w:cs="仿宋"/>
                <w:color w:val="000000"/>
                <w:kern w:val="0"/>
                <w:sz w:val="24"/>
              </w:rPr>
              <w:t>（三）市政务公开领导小组在考核中考虑的其他情形，加分酌情而定。</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8" w:hRule="atLeast"/>
          <w:jc w:val="center"/>
        </w:trPr>
        <w:tc>
          <w:tcPr>
            <w:tcW w:w="742" w:type="dxa"/>
            <w:vAlign w:val="center"/>
          </w:tcPr>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重</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大</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扣</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分</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项</w:t>
            </w:r>
          </w:p>
        </w:tc>
        <w:tc>
          <w:tcPr>
            <w:tcW w:w="10780" w:type="dxa"/>
            <w:gridSpan w:val="5"/>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（一）政府公报、政府网站、政务新媒体等公开平台出现严重低级错误被通报或引起较大范围负面舆情的，扣5分；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（二）未严格落实政府信息公开保密审查制度，造成失泄密问题的，扣5分；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（三）因政策解读、回应公众关切不及时、不妥当引起较大范围负面舆情的，扣5分；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（四）在接受政务公开工作考核时弄虚作假的，扣5分；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（五）出现《山西省政务公开工作考核办法（试行）》第十五条规定的情形的，扣5分；</w:t>
            </w:r>
          </w:p>
          <w:p>
            <w:pPr>
              <w:widowControl/>
              <w:spacing w:line="300" w:lineRule="exact"/>
              <w:jc w:val="left"/>
              <w:rPr>
                <w:rFonts w:hint="eastAsia" w:ascii="仿宋_GB2312" w:eastAsia="仿宋_GB2312" w:cs="仿宋"/>
                <w:color w:val="000000"/>
                <w:kern w:val="0"/>
                <w:sz w:val="24"/>
              </w:rPr>
            </w:pPr>
            <w:r>
              <w:rPr>
                <w:rFonts w:ascii="仿宋_GB2312" w:eastAsia="仿宋_GB2312" w:cs="仿宋"/>
                <w:color w:val="000000"/>
                <w:kern w:val="0"/>
                <w:sz w:val="24"/>
              </w:rPr>
              <w:t>（六）市政务公开领导小组在考核中酌情考虑的其他情形。</w:t>
            </w:r>
          </w:p>
        </w:tc>
        <w:tc>
          <w:tcPr>
            <w:tcW w:w="2220"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根据考核情况评定</w:t>
            </w:r>
          </w:p>
        </w:tc>
      </w:tr>
    </w:tbl>
    <w:p>
      <w:pPr>
        <w:widowControl/>
        <w:jc w:val="left"/>
        <w:rPr>
          <w:rFonts w:ascii="黑体" w:eastAsia="黑体"/>
          <w:sz w:val="32"/>
          <w:szCs w:val="32"/>
        </w:rPr>
      </w:pPr>
    </w:p>
    <w:p>
      <w:pPr>
        <w:widowControl/>
        <w:jc w:val="left"/>
        <w:rPr>
          <w:rFonts w:ascii="黑体" w:eastAsia="黑体"/>
          <w:sz w:val="32"/>
          <w:szCs w:val="32"/>
        </w:rPr>
      </w:pPr>
    </w:p>
    <w:p>
      <w:pPr>
        <w:widowControl/>
        <w:jc w:val="left"/>
        <w:rPr>
          <w:rFonts w:ascii="黑体" w:eastAsia="黑体"/>
          <w:sz w:val="32"/>
          <w:szCs w:val="32"/>
        </w:rPr>
      </w:pPr>
    </w:p>
    <w:p>
      <w:pPr>
        <w:widowControl/>
        <w:jc w:val="left"/>
        <w:rPr>
          <w:rFonts w:ascii="黑体" w:eastAsia="黑体"/>
          <w:sz w:val="32"/>
          <w:szCs w:val="32"/>
        </w:rPr>
      </w:pPr>
    </w:p>
    <w:p>
      <w:pPr>
        <w:widowControl/>
        <w:jc w:val="left"/>
        <w:rPr>
          <w:rFonts w:ascii="黑体" w:eastAsia="黑体"/>
          <w:sz w:val="32"/>
          <w:szCs w:val="32"/>
        </w:rPr>
      </w:pPr>
    </w:p>
    <w:p>
      <w:pPr>
        <w:widowControl/>
        <w:ind w:left="-1029" w:leftChars="-495" w:firstLine="0" w:firstLineChars="0"/>
        <w:jc w:val="left"/>
        <w:rPr>
          <w:rFonts w:ascii="黑体" w:eastAsia="黑体"/>
          <w:sz w:val="32"/>
          <w:szCs w:val="32"/>
        </w:rPr>
      </w:pPr>
    </w:p>
    <w:p>
      <w:pPr>
        <w:widowControl/>
        <w:ind w:left="0" w:leftChars="0" w:firstLine="0" w:firstLineChars="0"/>
        <w:jc w:val="left"/>
        <w:rPr>
          <w:rFonts w:ascii="黑体" w:eastAsia="黑体"/>
          <w:sz w:val="32"/>
          <w:szCs w:val="32"/>
        </w:rPr>
      </w:pPr>
      <w:r>
        <w:rPr>
          <w:rFonts w:ascii="黑体" w:eastAsia="黑体"/>
          <w:sz w:val="32"/>
          <w:szCs w:val="32"/>
        </w:rPr>
        <w:t>附件2</w:t>
      </w:r>
    </w:p>
    <w:p>
      <w:pPr>
        <w:widowControl/>
        <w:jc w:val="center"/>
        <w:rPr>
          <w:rFonts w:ascii="方正小标宋简体" w:eastAsia="方正小标宋简体" w:cs="仿宋"/>
          <w:color w:val="000000"/>
          <w:kern w:val="0"/>
          <w:sz w:val="44"/>
          <w:szCs w:val="32"/>
        </w:rPr>
      </w:pPr>
      <w:r>
        <w:rPr>
          <w:rFonts w:hint="eastAsia" w:ascii="方正小标宋简体" w:eastAsia="方正小标宋简体" w:cs="仿宋"/>
          <w:color w:val="000000"/>
          <w:kern w:val="0"/>
          <w:sz w:val="44"/>
          <w:szCs w:val="32"/>
        </w:rPr>
        <w:t>202</w:t>
      </w:r>
      <w:r>
        <w:rPr>
          <w:rFonts w:ascii="方正小标宋简体" w:eastAsia="方正小标宋简体" w:cs="仿宋"/>
          <w:color w:val="000000"/>
          <w:kern w:val="0"/>
          <w:sz w:val="44"/>
          <w:szCs w:val="32"/>
        </w:rPr>
        <w:t>3</w:t>
      </w:r>
      <w:r>
        <w:rPr>
          <w:rFonts w:hint="eastAsia" w:ascii="方正小标宋简体" w:eastAsia="方正小标宋简体" w:cs="仿宋"/>
          <w:color w:val="000000"/>
          <w:kern w:val="0"/>
          <w:sz w:val="44"/>
          <w:szCs w:val="32"/>
        </w:rPr>
        <w:t>年度吕梁市政务公开工作考核细则</w:t>
      </w:r>
      <w:r>
        <w:rPr>
          <w:rFonts w:ascii="方正小标宋简体" w:eastAsia="方正小标宋简体" w:cs="仿宋"/>
          <w:color w:val="000000"/>
          <w:kern w:val="0"/>
          <w:sz w:val="44"/>
          <w:szCs w:val="32"/>
        </w:rPr>
        <w:t>和</w:t>
      </w:r>
      <w:r>
        <w:rPr>
          <w:rFonts w:hint="eastAsia" w:ascii="方正小标宋简体" w:eastAsia="方正小标宋简体" w:cs="仿宋"/>
          <w:color w:val="000000"/>
          <w:kern w:val="0"/>
          <w:sz w:val="44"/>
          <w:szCs w:val="32"/>
        </w:rPr>
        <w:t>评分表</w:t>
      </w:r>
      <w:r>
        <w:rPr>
          <w:rFonts w:hint="eastAsia" w:ascii="方正小标宋简体" w:eastAsia="方正小标宋简体" w:cs="仿宋"/>
          <w:color w:val="000000"/>
          <w:kern w:val="0"/>
          <w:sz w:val="44"/>
          <w:szCs w:val="32"/>
          <w:lang w:eastAsia="zh-CN"/>
        </w:rPr>
        <w:t>（</w:t>
      </w:r>
      <w:r>
        <w:rPr>
          <w:rFonts w:hint="eastAsia" w:ascii="方正小标宋简体" w:eastAsia="方正小标宋简体" w:cs="仿宋"/>
          <w:color w:val="000000"/>
          <w:kern w:val="0"/>
          <w:sz w:val="44"/>
          <w:szCs w:val="32"/>
        </w:rPr>
        <w:t>B类</w:t>
      </w:r>
      <w:r>
        <w:rPr>
          <w:rFonts w:hint="eastAsia" w:ascii="方正小标宋简体" w:eastAsia="方正小标宋简体" w:cs="仿宋"/>
          <w:color w:val="000000"/>
          <w:kern w:val="0"/>
          <w:sz w:val="44"/>
          <w:szCs w:val="32"/>
          <w:lang w:eastAsia="zh-CN"/>
        </w:rPr>
        <w:t>）</w:t>
      </w:r>
    </w:p>
    <w:tbl>
      <w:tblPr>
        <w:tblStyle w:val="9"/>
        <w:tblW w:w="144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2"/>
        <w:gridCol w:w="706"/>
        <w:gridCol w:w="2267"/>
        <w:gridCol w:w="564"/>
        <w:gridCol w:w="5242"/>
        <w:gridCol w:w="2745"/>
        <w:gridCol w:w="20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blHeader/>
          <w:jc w:val="center"/>
        </w:trPr>
        <w:tc>
          <w:tcPr>
            <w:tcW w:w="833"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一级指标</w:t>
            </w:r>
          </w:p>
        </w:tc>
        <w:tc>
          <w:tcPr>
            <w:tcW w:w="706"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二级</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指标</w:t>
            </w:r>
          </w:p>
        </w:tc>
        <w:tc>
          <w:tcPr>
            <w:tcW w:w="2267"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三级</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指标</w:t>
            </w:r>
          </w:p>
        </w:tc>
        <w:tc>
          <w:tcPr>
            <w:tcW w:w="564"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赋</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分</w:t>
            </w:r>
          </w:p>
        </w:tc>
        <w:tc>
          <w:tcPr>
            <w:tcW w:w="5242"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扣分</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标准</w:t>
            </w:r>
          </w:p>
        </w:tc>
        <w:tc>
          <w:tcPr>
            <w:tcW w:w="2745"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加分</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标准</w:t>
            </w:r>
          </w:p>
        </w:tc>
        <w:tc>
          <w:tcPr>
            <w:tcW w:w="2059" w:type="dxa"/>
            <w:vAlign w:val="center"/>
          </w:tcPr>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考核</w:t>
            </w:r>
          </w:p>
          <w:p>
            <w:pPr>
              <w:widowControl/>
              <w:spacing w:line="300" w:lineRule="exact"/>
              <w:jc w:val="center"/>
              <w:rPr>
                <w:rFonts w:hint="eastAsia" w:ascii="仿宋_GB2312" w:eastAsia="仿宋_GB2312" w:cs="仿宋"/>
                <w:b/>
                <w:bCs/>
                <w:color w:val="000000"/>
                <w:kern w:val="0"/>
                <w:sz w:val="24"/>
                <w:szCs w:val="28"/>
              </w:rPr>
            </w:pPr>
            <w:r>
              <w:rPr>
                <w:rFonts w:hint="eastAsia" w:ascii="仿宋_GB2312" w:eastAsia="仿宋_GB2312" w:cs="仿宋"/>
                <w:b/>
                <w:bCs/>
                <w:color w:val="000000"/>
                <w:kern w:val="0"/>
                <w:sz w:val="24"/>
                <w:szCs w:val="28"/>
              </w:rPr>
              <w:t>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jc w:val="center"/>
        </w:trPr>
        <w:tc>
          <w:tcPr>
            <w:tcW w:w="833" w:type="dxa"/>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工作保障</w:t>
            </w:r>
          </w:p>
        </w:tc>
        <w:tc>
          <w:tcPr>
            <w:tcW w:w="2973" w:type="dxa"/>
            <w:gridSpan w:val="2"/>
            <w:tcBorders>
              <w:left w:val="single" w:color="auto" w:sz="4" w:space="0"/>
              <w:right w:val="single" w:color="auto" w:sz="4" w:space="0"/>
            </w:tcBorders>
            <w:vAlign w:val="center"/>
          </w:tcPr>
          <w:p>
            <w:pPr>
              <w:spacing w:line="300" w:lineRule="exact"/>
              <w:jc w:val="center"/>
              <w:rPr>
                <w:rFonts w:ascii="仿宋_GB2312" w:eastAsia="仿宋_GB2312" w:cs="Noto Sans Mono CJK HK"/>
                <w:sz w:val="24"/>
              </w:rPr>
            </w:pPr>
            <w:r>
              <w:rPr>
                <w:rFonts w:ascii="仿宋_GB2312" w:eastAsia="仿宋_GB2312" w:cs="Noto Sans Mono CJK HK"/>
                <w:sz w:val="24"/>
              </w:rPr>
              <w:t>业务培训</w:t>
            </w:r>
          </w:p>
        </w:tc>
        <w:tc>
          <w:tcPr>
            <w:tcW w:w="564"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hint="eastAsia" w:ascii="仿宋_GB2312" w:eastAsia="仿宋_GB2312" w:cs="仿宋"/>
                <w:color w:val="000000"/>
                <w:kern w:val="0"/>
                <w:sz w:val="24"/>
              </w:rPr>
              <w:t>－</w:t>
            </w:r>
          </w:p>
        </w:tc>
        <w:tc>
          <w:tcPr>
            <w:tcW w:w="5242"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hint="eastAsia" w:ascii="仿宋_GB2312" w:eastAsia="仿宋_GB2312" w:cs="仿宋"/>
                <w:color w:val="000000"/>
                <w:kern w:val="0"/>
                <w:sz w:val="24"/>
              </w:rPr>
              <w:t>－</w:t>
            </w:r>
          </w:p>
        </w:tc>
        <w:tc>
          <w:tcPr>
            <w:tcW w:w="2745" w:type="dxa"/>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hint="eastAsia" w:ascii="仿宋_GB2312" w:eastAsia="仿宋_GB2312" w:cs="仿宋"/>
                <w:sz w:val="24"/>
              </w:rPr>
              <w:t>年内开展政务公开业务培训的，</w:t>
            </w:r>
            <w:r>
              <w:rPr>
                <w:rFonts w:ascii="仿宋_GB2312" w:eastAsia="仿宋_GB2312" w:cs="仿宋"/>
                <w:sz w:val="24"/>
              </w:rPr>
              <w:t>加1</w:t>
            </w:r>
            <w:r>
              <w:rPr>
                <w:rFonts w:hint="eastAsia" w:ascii="仿宋_GB2312" w:eastAsia="仿宋_GB2312" w:cs="仿宋"/>
                <w:sz w:val="24"/>
              </w:rPr>
              <w:t>分</w:t>
            </w:r>
          </w:p>
        </w:tc>
        <w:tc>
          <w:tcPr>
            <w:tcW w:w="2059" w:type="dxa"/>
            <w:vAlign w:val="center"/>
          </w:tcPr>
          <w:p>
            <w:pPr>
              <w:rPr>
                <w:rFonts w:ascii="仿宋_GB2312" w:eastAsia="仿宋_GB2312"/>
                <w:sz w:val="24"/>
              </w:rPr>
            </w:pPr>
            <w:r>
              <w:rPr>
                <w:rFonts w:ascii="仿宋_GB2312" w:eastAsia="仿宋_GB2312"/>
                <w:sz w:val="24"/>
              </w:rPr>
              <w:t>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3" w:hRule="atLeast"/>
          <w:jc w:val="center"/>
        </w:trPr>
        <w:tc>
          <w:tcPr>
            <w:tcW w:w="833" w:type="dxa"/>
            <w:vMerge w:val="restart"/>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主</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动</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开</w:t>
            </w:r>
          </w:p>
        </w:tc>
        <w:tc>
          <w:tcPr>
            <w:tcW w:w="706" w:type="dxa"/>
            <w:vMerge w:val="restart"/>
            <w:tcBorders>
              <w:left w:val="single" w:color="auto" w:sz="4" w:space="0"/>
              <w:right w:val="single" w:color="auto" w:sz="4" w:space="0"/>
            </w:tcBorders>
            <w:vAlign w:val="center"/>
          </w:tcPr>
          <w:p>
            <w:pPr>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基础信息</w:t>
            </w:r>
            <w:r>
              <w:rPr>
                <w:rFonts w:hint="eastAsia" w:ascii="仿宋_GB2312" w:eastAsia="仿宋_GB2312" w:cs="仿宋"/>
                <w:color w:val="000000"/>
                <w:kern w:val="0"/>
                <w:sz w:val="24"/>
              </w:rPr>
              <w:t>公开</w:t>
            </w:r>
          </w:p>
        </w:tc>
        <w:tc>
          <w:tcPr>
            <w:tcW w:w="2267" w:type="dxa"/>
            <w:tcBorders>
              <w:left w:val="single" w:color="auto" w:sz="4" w:space="0"/>
              <w:right w:val="single" w:color="auto" w:sz="4" w:space="0"/>
            </w:tcBorders>
            <w:vAlign w:val="center"/>
          </w:tcPr>
          <w:p>
            <w:pPr>
              <w:spacing w:line="300" w:lineRule="exact"/>
              <w:jc w:val="center"/>
              <w:rPr>
                <w:rFonts w:hint="eastAsia" w:ascii="仿宋_GB2312" w:eastAsia="仿宋_GB2312" w:cs="Noto Sans Mono CJK HK"/>
                <w:sz w:val="24"/>
              </w:rPr>
            </w:pPr>
            <w:r>
              <w:rPr>
                <w:rFonts w:ascii="仿宋_GB2312" w:eastAsia="仿宋_GB2312" w:cs="Noto Sans Mono CJK HK"/>
                <w:sz w:val="24"/>
              </w:rPr>
              <w:t>机构职能信息</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42"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sz w:val="24"/>
              </w:rPr>
              <w:t>未通过本单位在政府门户网站开设的政务公开专栏及时、规范、集中公开机关职能、机构设置、办公地址、办公时间、联系方式、负责人姓名等信息的，有一项扣1分，扣分上限2分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834" w:type="dxa"/>
            <w:vMerge w:val="continue"/>
            <w:vAlign w:val="center"/>
          </w:tcPr>
          <w:p/>
        </w:tc>
        <w:tc>
          <w:tcPr>
            <w:tcW w:w="707"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spacing w:line="300" w:lineRule="exact"/>
              <w:jc w:val="center"/>
              <w:rPr>
                <w:rFonts w:hint="eastAsia" w:ascii="仿宋_GB2312" w:eastAsia="仿宋_GB2312" w:cs="Noto Sans Mono CJK HK"/>
                <w:sz w:val="24"/>
              </w:rPr>
            </w:pPr>
            <w:r>
              <w:rPr>
                <w:rFonts w:ascii="仿宋_GB2312" w:eastAsia="仿宋_GB2312"/>
                <w:sz w:val="24"/>
              </w:rPr>
              <w:t>行政规范性文件</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6</w:t>
            </w:r>
          </w:p>
        </w:tc>
        <w:tc>
          <w:tcPr>
            <w:tcW w:w="5242"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cs="仿宋"/>
                <w:color w:val="000000"/>
                <w:kern w:val="0"/>
                <w:sz w:val="24"/>
              </w:rPr>
              <w:t>部门规范性文件未向市司法局备案，并在规定时间内报送政府网站和政府公报的，每发现一件扣2分，扣分上限6分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rPr>
                <w:rFonts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834" w:type="dxa"/>
            <w:vMerge w:val="continue"/>
            <w:vAlign w:val="center"/>
          </w:tcPr>
          <w:p/>
        </w:tc>
        <w:tc>
          <w:tcPr>
            <w:tcW w:w="707"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spacing w:line="300" w:lineRule="exact"/>
              <w:jc w:val="center"/>
              <w:rPr>
                <w:rFonts w:hint="eastAsia" w:ascii="仿宋_GB2312" w:eastAsia="仿宋_GB2312" w:cs="Noto Sans Mono CJK HK"/>
                <w:sz w:val="24"/>
              </w:rPr>
            </w:pPr>
            <w:r>
              <w:rPr>
                <w:rFonts w:ascii="仿宋_GB2312" w:eastAsia="仿宋_GB2312" w:cs="Noto Sans Mono CJK HK"/>
                <w:sz w:val="24"/>
              </w:rPr>
              <w:t>行政许可、行政处罚</w:t>
            </w:r>
            <w:r>
              <w:rPr>
                <w:rFonts w:hint="eastAsia" w:ascii="仿宋_GB2312" w:eastAsia="仿宋_GB2312" w:cs="Noto Sans Mono CJK HK"/>
                <w:sz w:val="24"/>
              </w:rPr>
              <w:t>“</w:t>
            </w:r>
            <w:r>
              <w:rPr>
                <w:rFonts w:ascii="仿宋_GB2312" w:eastAsia="仿宋_GB2312" w:cs="Noto Sans Mono CJK HK"/>
                <w:sz w:val="24"/>
              </w:rPr>
              <w:t>双公示</w:t>
            </w:r>
            <w:r>
              <w:rPr>
                <w:rFonts w:hint="eastAsia" w:ascii="仿宋_GB2312" w:eastAsia="仿宋_GB2312" w:cs="Noto Sans Mono CJK HK"/>
                <w:sz w:val="24"/>
              </w:rPr>
              <w:t>”</w:t>
            </w:r>
            <w:r>
              <w:rPr>
                <w:rFonts w:ascii="仿宋_GB2312" w:eastAsia="仿宋_GB2312" w:cs="Noto Sans Mono CJK HK"/>
                <w:sz w:val="24"/>
              </w:rPr>
              <w:t>情况</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4</w:t>
            </w:r>
          </w:p>
        </w:tc>
        <w:tc>
          <w:tcPr>
            <w:tcW w:w="5242" w:type="dxa"/>
            <w:tcBorders>
              <w:left w:val="single" w:color="auto" w:sz="4" w:space="0"/>
              <w:right w:val="single" w:color="auto" w:sz="4" w:space="0"/>
            </w:tcBorders>
            <w:vAlign w:val="center"/>
          </w:tcPr>
          <w:p>
            <w:pPr>
              <w:rPr>
                <w:rFonts w:hint="eastAsia" w:ascii="仿宋_GB2312" w:eastAsia="仿宋_GB2312"/>
                <w:sz w:val="24"/>
              </w:rPr>
            </w:pPr>
            <w:r>
              <w:rPr>
                <w:rFonts w:ascii="仿宋_GB2312" w:eastAsia="仿宋_GB2312"/>
                <w:sz w:val="24"/>
              </w:rPr>
              <w:t>根据市发改委提供的各单位</w:t>
            </w:r>
            <w:r>
              <w:rPr>
                <w:rFonts w:hint="eastAsia" w:ascii="仿宋_GB2312" w:eastAsia="仿宋_GB2312"/>
                <w:sz w:val="24"/>
              </w:rPr>
              <w:t>“</w:t>
            </w:r>
            <w:r>
              <w:rPr>
                <w:rFonts w:ascii="仿宋_GB2312" w:eastAsia="仿宋_GB2312"/>
                <w:sz w:val="24"/>
              </w:rPr>
              <w:t>双公示</w:t>
            </w:r>
            <w:r>
              <w:rPr>
                <w:rFonts w:hint="eastAsia" w:ascii="仿宋_GB2312" w:eastAsia="仿宋_GB2312"/>
                <w:sz w:val="24"/>
              </w:rPr>
              <w:t>”</w:t>
            </w:r>
            <w:r>
              <w:rPr>
                <w:rFonts w:ascii="仿宋_GB2312" w:eastAsia="仿宋_GB2312"/>
                <w:sz w:val="24"/>
              </w:rPr>
              <w:t>数据报送的合规率、迟报率、规范性和时效性情况评分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w:t>
            </w:r>
          </w:p>
        </w:tc>
        <w:tc>
          <w:tcPr>
            <w:tcW w:w="2059" w:type="dxa"/>
            <w:vAlign w:val="center"/>
          </w:tcPr>
          <w:p>
            <w:pPr>
              <w:spacing w:line="300" w:lineRule="exact"/>
              <w:rPr>
                <w:rFonts w:hint="eastAsia" w:ascii="仿宋_GB2312" w:eastAsia="仿宋_GB2312"/>
                <w:sz w:val="24"/>
              </w:rPr>
            </w:pPr>
            <w:r>
              <w:rPr>
                <w:rFonts w:ascii="仿宋_GB2312" w:eastAsia="仿宋_GB2312"/>
                <w:sz w:val="24"/>
              </w:rPr>
              <w:t>市发改委提供考核依据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834" w:type="dxa"/>
            <w:vMerge w:val="continue"/>
            <w:vAlign w:val="center"/>
          </w:tcPr>
          <w:p/>
        </w:tc>
        <w:tc>
          <w:tcPr>
            <w:tcW w:w="707"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pStyle w:val="16"/>
              <w:spacing w:line="146" w:lineRule="auto"/>
              <w:ind w:right="9"/>
              <w:jc w:val="center"/>
              <w:rPr>
                <w:rFonts w:hint="eastAsia" w:ascii="仿宋_GB2312" w:eastAsia="仿宋_GB2312" w:cs="仿宋"/>
                <w:color w:val="000000"/>
                <w:kern w:val="0"/>
                <w:sz w:val="24"/>
                <w:szCs w:val="24"/>
              </w:rPr>
            </w:pPr>
            <w:r>
              <w:rPr>
                <w:rFonts w:ascii="仿宋_GB2312" w:eastAsia="仿宋_GB2312" w:cs="仿宋"/>
                <w:color w:val="000000"/>
                <w:kern w:val="0"/>
                <w:sz w:val="24"/>
                <w:szCs w:val="24"/>
              </w:rPr>
              <w:t>财政预决算</w:t>
            </w:r>
          </w:p>
        </w:tc>
        <w:tc>
          <w:tcPr>
            <w:tcW w:w="564" w:type="dxa"/>
            <w:tcBorders>
              <w:left w:val="single" w:color="auto" w:sz="4" w:space="0"/>
              <w:right w:val="single" w:color="auto" w:sz="4" w:space="0"/>
            </w:tcBorders>
            <w:vAlign w:val="center"/>
          </w:tcPr>
          <w:p>
            <w:pPr>
              <w:pStyle w:val="16"/>
              <w:ind w:firstLine="0"/>
              <w:jc w:val="center"/>
              <w:rPr>
                <w:rFonts w:hint="eastAsia" w:ascii="仿宋_GB2312" w:eastAsia="仿宋_GB2312" w:cs="仿宋"/>
                <w:color w:val="000000"/>
                <w:kern w:val="0"/>
                <w:sz w:val="24"/>
                <w:szCs w:val="24"/>
              </w:rPr>
            </w:pPr>
            <w:r>
              <w:rPr>
                <w:rFonts w:ascii="仿宋_GB2312" w:eastAsia="仿宋_GB2312" w:cs="仿宋"/>
                <w:color w:val="000000"/>
                <w:kern w:val="0"/>
                <w:sz w:val="24"/>
                <w:szCs w:val="24"/>
              </w:rPr>
              <w:t>2</w:t>
            </w:r>
          </w:p>
        </w:tc>
        <w:tc>
          <w:tcPr>
            <w:tcW w:w="5242" w:type="dxa"/>
            <w:tcBorders>
              <w:left w:val="single" w:color="auto" w:sz="4" w:space="0"/>
              <w:right w:val="single" w:color="auto" w:sz="4" w:space="0"/>
            </w:tcBorders>
            <w:vAlign w:val="center"/>
          </w:tcPr>
          <w:p>
            <w:pPr>
              <w:widowControl/>
              <w:spacing w:line="300" w:lineRule="exact"/>
              <w:rPr>
                <w:rFonts w:hint="eastAsia" w:ascii="仿宋_GB2312" w:eastAsia="仿宋_GB2312" w:cs="仿宋"/>
                <w:sz w:val="24"/>
              </w:rPr>
            </w:pPr>
            <w:r>
              <w:rPr>
                <w:rFonts w:ascii="仿宋_GB2312" w:eastAsia="仿宋_GB2312"/>
                <w:sz w:val="24"/>
              </w:rPr>
              <w:t>未通过本单位在政府门户网站开设的政务公开专栏及时、规范、集中公开本部门财政预决算情况的，有一项扣1分</w:t>
            </w:r>
            <w:r>
              <w:rPr>
                <w:rFonts w:ascii="仿宋_GB2312" w:eastAsia="仿宋_GB2312" w:cs="仿宋"/>
                <w:sz w:val="24"/>
              </w:rPr>
              <w:t>，扣上限2分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hint="eastAsia" w:ascii="仿宋_GB2312" w:eastAsia="仿宋_GB2312" w:cs="仿宋"/>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2" w:hRule="atLeast"/>
          <w:jc w:val="center"/>
        </w:trPr>
        <w:tc>
          <w:tcPr>
            <w:tcW w:w="833" w:type="dxa"/>
            <w:vMerge w:val="restart"/>
            <w:tcBorders>
              <w:tl2br w:val="nil"/>
              <w:tr2bl w:val="nil"/>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主</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动</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开</w:t>
            </w:r>
          </w:p>
        </w:tc>
        <w:tc>
          <w:tcPr>
            <w:tcW w:w="706" w:type="dxa"/>
            <w:vMerge w:val="restart"/>
            <w:tcBorders>
              <w:left w:val="single" w:color="auto" w:sz="4" w:space="0"/>
              <w:right w:val="single" w:color="auto" w:sz="4" w:space="0"/>
              <w:tl2br w:val="nil"/>
              <w:tr2bl w:val="nil"/>
            </w:tcBorders>
            <w:vAlign w:val="center"/>
          </w:tcPr>
          <w:p>
            <w:pPr>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基础信息</w:t>
            </w:r>
            <w:r>
              <w:rPr>
                <w:rFonts w:hint="eastAsia" w:ascii="仿宋_GB2312" w:eastAsia="仿宋_GB2312" w:cs="仿宋"/>
                <w:color w:val="000000"/>
                <w:kern w:val="0"/>
                <w:sz w:val="24"/>
              </w:rPr>
              <w:t>公开</w:t>
            </w:r>
          </w:p>
        </w:tc>
        <w:tc>
          <w:tcPr>
            <w:tcW w:w="2267"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行政事业性收费</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42" w:type="dxa"/>
            <w:tcBorders>
              <w:left w:val="single" w:color="auto" w:sz="4" w:space="0"/>
              <w:right w:val="single" w:color="auto" w:sz="4" w:space="0"/>
            </w:tcBorders>
            <w:vAlign w:val="center"/>
          </w:tcPr>
          <w:p>
            <w:pPr>
              <w:spacing w:line="300" w:lineRule="exact"/>
              <w:rPr>
                <w:rFonts w:ascii="仿宋_GB2312" w:eastAsia="仿宋_GB2312" w:cs="仿宋"/>
                <w:sz w:val="24"/>
              </w:rPr>
            </w:pPr>
            <w:r>
              <w:rPr>
                <w:rFonts w:ascii="仿宋_GB2312" w:eastAsia="仿宋_GB2312"/>
                <w:sz w:val="24"/>
              </w:rPr>
              <w:t>未通过本单位在政府门户网站开设的政务公开专栏及时、规范、集中公开本部门行政事业性收费项目的，扣1分</w:t>
            </w:r>
            <w:r>
              <w:rPr>
                <w:rFonts w:ascii="仿宋_GB2312" w:eastAsia="仿宋_GB2312" w:cs="仿宋"/>
                <w:sz w:val="24"/>
              </w:rPr>
              <w:t>；</w:t>
            </w:r>
          </w:p>
          <w:p>
            <w:pPr>
              <w:spacing w:line="300" w:lineRule="exact"/>
              <w:rPr>
                <w:rFonts w:hint="eastAsia" w:ascii="仿宋_GB2312" w:eastAsia="仿宋_GB2312"/>
                <w:sz w:val="24"/>
              </w:rPr>
            </w:pPr>
            <w:r>
              <w:rPr>
                <w:rFonts w:ascii="仿宋_GB2312" w:eastAsia="仿宋_GB2312" w:cs="仿宋"/>
                <w:sz w:val="24"/>
              </w:rPr>
              <w:t>未公开其依据、标准的，扣1分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spacing w:line="300" w:lineRule="exact"/>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834" w:type="dxa"/>
            <w:vMerge w:val="continue"/>
            <w:tcBorders>
              <w:tl2br w:val="nil"/>
              <w:tr2bl w:val="nil"/>
            </w:tcBorders>
            <w:vAlign w:val="center"/>
          </w:tcPr>
          <w:p/>
        </w:tc>
        <w:tc>
          <w:tcPr>
            <w:tcW w:w="707"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cs="仿宋"/>
                <w:color w:val="000000"/>
                <w:kern w:val="0"/>
                <w:sz w:val="24"/>
              </w:rPr>
              <w:t>人大代表建议、政协提案办理公开</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42"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sz w:val="24"/>
              </w:rPr>
              <w:t>未通过本单位在政府门户网站开设的政务公开专栏</w:t>
            </w:r>
            <w:r>
              <w:rPr>
                <w:rFonts w:ascii="仿宋_GB2312" w:eastAsia="仿宋_GB2312" w:cs="仿宋"/>
                <w:color w:val="000000"/>
                <w:kern w:val="0"/>
                <w:sz w:val="24"/>
              </w:rPr>
              <w:t>公开人大代表建议、政协提案办理结果的，扣2分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spacing w:line="300" w:lineRule="exact"/>
              <w:rPr>
                <w:rFonts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834" w:type="dxa"/>
            <w:vMerge w:val="continue"/>
            <w:tcBorders>
              <w:tl2br w:val="nil"/>
              <w:tr2bl w:val="nil"/>
            </w:tcBorders>
            <w:vAlign w:val="center"/>
          </w:tcPr>
          <w:p/>
        </w:tc>
        <w:tc>
          <w:tcPr>
            <w:tcW w:w="707"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spacing w:line="300" w:lineRule="exact"/>
              <w:jc w:val="center"/>
              <w:rPr>
                <w:rFonts w:ascii="仿宋_GB2312" w:eastAsia="仿宋_GB2312"/>
                <w:sz w:val="24"/>
              </w:rPr>
            </w:pPr>
            <w:r>
              <w:rPr>
                <w:rFonts w:ascii="仿宋_GB2312" w:eastAsia="仿宋_GB2312"/>
                <w:sz w:val="24"/>
              </w:rPr>
              <w:t>重大行政决策</w:t>
            </w:r>
          </w:p>
          <w:p>
            <w:pPr>
              <w:spacing w:line="300" w:lineRule="exact"/>
              <w:jc w:val="center"/>
              <w:rPr>
                <w:rFonts w:hint="eastAsia" w:ascii="仿宋_GB2312" w:eastAsia="仿宋_GB2312"/>
                <w:sz w:val="24"/>
              </w:rPr>
            </w:pPr>
            <w:r>
              <w:rPr>
                <w:rFonts w:ascii="仿宋_GB2312" w:eastAsia="仿宋_GB2312"/>
                <w:sz w:val="24"/>
              </w:rPr>
              <w:t>预公</w:t>
            </w:r>
            <w:r>
              <w:rPr>
                <w:rFonts w:hint="eastAsia" w:ascii="仿宋_GB2312" w:eastAsia="仿宋_GB2312"/>
                <w:sz w:val="24"/>
              </w:rPr>
              <w:t>开</w:t>
            </w:r>
          </w:p>
        </w:tc>
        <w:tc>
          <w:tcPr>
            <w:tcW w:w="564" w:type="dxa"/>
            <w:tcBorders>
              <w:left w:val="single" w:color="auto" w:sz="4" w:space="0"/>
              <w:right w:val="single" w:color="auto" w:sz="4" w:space="0"/>
            </w:tcBorders>
            <w:vAlign w:val="center"/>
          </w:tcPr>
          <w:p>
            <w:pPr>
              <w:spacing w:line="300" w:lineRule="exact"/>
              <w:jc w:val="center"/>
              <w:rPr>
                <w:rFonts w:hint="eastAsia" w:ascii="仿宋_GB2312" w:eastAsia="仿宋_GB2312"/>
                <w:sz w:val="24"/>
              </w:rPr>
            </w:pPr>
            <w:r>
              <w:rPr>
                <w:rFonts w:ascii="仿宋_GB2312" w:eastAsia="仿宋_GB2312"/>
                <w:sz w:val="24"/>
              </w:rPr>
              <w:t>2</w:t>
            </w:r>
          </w:p>
        </w:tc>
        <w:tc>
          <w:tcPr>
            <w:tcW w:w="5242" w:type="dxa"/>
            <w:tcBorders>
              <w:left w:val="single" w:color="auto" w:sz="4" w:space="0"/>
              <w:right w:val="single" w:color="auto" w:sz="4" w:space="0"/>
            </w:tcBorders>
            <w:vAlign w:val="center"/>
          </w:tcPr>
          <w:p>
            <w:pPr>
              <w:spacing w:line="300" w:lineRule="exact"/>
              <w:rPr>
                <w:rFonts w:hint="eastAsia" w:ascii="仿宋_GB2312" w:eastAsia="仿宋_GB2312"/>
                <w:sz w:val="24"/>
              </w:rPr>
            </w:pPr>
            <w:r>
              <w:rPr>
                <w:rFonts w:ascii="仿宋_GB2312" w:eastAsia="仿宋_GB2312"/>
                <w:sz w:val="24"/>
              </w:rPr>
              <w:t>未通过本单位在政府门户网站开设的政务公开专栏开展重大行政决策意见征集的（包括及时、规范、集中公开文件征求意见稿、对征求意见稿的解读、意见征集情况）的，扣1分，公开不全面的，扣1分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spacing w:line="300" w:lineRule="exact"/>
              <w:rPr>
                <w:rFonts w:hint="eastAsia" w:ascii="仿宋_GB2312" w:eastAsia="仿宋_GB2312"/>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834" w:type="dxa"/>
            <w:vMerge w:val="continue"/>
            <w:tcBorders>
              <w:tl2br w:val="nil"/>
              <w:tr2bl w:val="nil"/>
            </w:tcBorders>
            <w:vAlign w:val="center"/>
          </w:tcPr>
          <w:p/>
        </w:tc>
        <w:tc>
          <w:tcPr>
            <w:tcW w:w="2973" w:type="dxa"/>
            <w:gridSpan w:val="2"/>
            <w:tcBorders>
              <w:right w:val="single" w:color="auto" w:sz="4" w:space="0"/>
              <w:tl2br w:val="nil"/>
              <w:tr2bl w:val="nil"/>
            </w:tcBorders>
            <w:vAlign w:val="center"/>
          </w:tcPr>
          <w:p>
            <w:pPr>
              <w:widowControl/>
              <w:spacing w:line="300" w:lineRule="exact"/>
              <w:jc w:val="center"/>
              <w:rPr>
                <w:rFonts w:ascii="仿宋_GB2312" w:eastAsia="仿宋_GB2312"/>
                <w:sz w:val="24"/>
              </w:rPr>
            </w:pPr>
            <w:r>
              <w:rPr>
                <w:rFonts w:ascii="仿宋_GB2312" w:eastAsia="仿宋_GB2312"/>
                <w:sz w:val="24"/>
              </w:rPr>
              <w:t>文件公开情况</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5</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正式印发的公开属性为主动公开的文件，</w:t>
            </w:r>
            <w:r>
              <w:rPr>
                <w:rFonts w:ascii="仿宋_GB2312" w:eastAsia="仿宋_GB2312"/>
                <w:sz w:val="24"/>
              </w:rPr>
              <w:t>未通过本单位在政府门户网站开设的政务公开专栏公开的</w:t>
            </w:r>
            <w:r>
              <w:rPr>
                <w:rFonts w:ascii="仿宋_GB2312" w:eastAsia="仿宋_GB2312" w:cs="仿宋"/>
                <w:color w:val="000000"/>
                <w:kern w:val="0"/>
                <w:sz w:val="24"/>
              </w:rPr>
              <w:t>，发现一件扣1分，扣分上限5分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834" w:type="dxa"/>
            <w:vMerge w:val="continue"/>
            <w:tcBorders>
              <w:tl2br w:val="nil"/>
              <w:tr2bl w:val="nil"/>
            </w:tcBorders>
            <w:vAlign w:val="center"/>
          </w:tcPr>
          <w:p/>
        </w:tc>
        <w:tc>
          <w:tcPr>
            <w:tcW w:w="2973" w:type="dxa"/>
            <w:gridSpan w:val="2"/>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政府信息公开年报质量</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2</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年报内容不符合国家规定、格式不规范、超期发布的，有一项扣1分，扣分上限2分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059" w:type="dxa"/>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jc w:val="center"/>
        </w:trPr>
        <w:tc>
          <w:tcPr>
            <w:tcW w:w="834" w:type="dxa"/>
            <w:vMerge w:val="continue"/>
            <w:tcBorders>
              <w:tl2br w:val="nil"/>
              <w:tr2bl w:val="nil"/>
            </w:tcBorders>
            <w:vAlign w:val="center"/>
          </w:tcPr>
          <w:p/>
        </w:tc>
        <w:tc>
          <w:tcPr>
            <w:tcW w:w="706" w:type="dxa"/>
            <w:vMerge w:val="restart"/>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重</w:t>
            </w:r>
          </w:p>
          <w:p>
            <w:pPr>
              <w:widowControl/>
              <w:spacing w:line="300" w:lineRule="exact"/>
              <w:jc w:val="center"/>
              <w:rPr>
                <w:rFonts w:ascii="仿宋_GB2312" w:eastAsia="仿宋_GB2312"/>
                <w:sz w:val="24"/>
              </w:rPr>
            </w:pPr>
            <w:r>
              <w:rPr>
                <w:rFonts w:ascii="仿宋_GB2312" w:eastAsia="仿宋_GB2312"/>
                <w:sz w:val="24"/>
              </w:rPr>
              <w:t>点</w:t>
            </w:r>
          </w:p>
          <w:p>
            <w:pPr>
              <w:widowControl/>
              <w:spacing w:line="300" w:lineRule="exact"/>
              <w:jc w:val="center"/>
              <w:rPr>
                <w:rFonts w:ascii="仿宋_GB2312" w:eastAsia="仿宋_GB2312"/>
                <w:sz w:val="24"/>
              </w:rPr>
            </w:pPr>
            <w:r>
              <w:rPr>
                <w:rFonts w:ascii="仿宋_GB2312" w:eastAsia="仿宋_GB2312"/>
                <w:sz w:val="24"/>
              </w:rPr>
              <w:t>领</w:t>
            </w:r>
          </w:p>
          <w:p>
            <w:pPr>
              <w:widowControl/>
              <w:spacing w:line="300" w:lineRule="exact"/>
              <w:jc w:val="center"/>
              <w:rPr>
                <w:rFonts w:ascii="仿宋_GB2312" w:eastAsia="仿宋_GB2312"/>
                <w:sz w:val="24"/>
              </w:rPr>
            </w:pPr>
            <w:r>
              <w:rPr>
                <w:rFonts w:ascii="仿宋_GB2312" w:eastAsia="仿宋_GB2312"/>
                <w:sz w:val="24"/>
              </w:rPr>
              <w:t>域</w:t>
            </w:r>
          </w:p>
          <w:p>
            <w:pPr>
              <w:widowControl/>
              <w:spacing w:line="300" w:lineRule="exact"/>
              <w:jc w:val="center"/>
              <w:rPr>
                <w:rFonts w:ascii="仿宋_GB2312" w:eastAsia="仿宋_GB2312"/>
                <w:sz w:val="24"/>
              </w:rPr>
            </w:pPr>
            <w:r>
              <w:rPr>
                <w:rFonts w:ascii="仿宋_GB2312" w:eastAsia="仿宋_GB2312"/>
                <w:sz w:val="24"/>
              </w:rPr>
              <w:t>公</w:t>
            </w:r>
          </w:p>
          <w:p>
            <w:pPr>
              <w:widowControl/>
              <w:spacing w:line="300" w:lineRule="exact"/>
              <w:jc w:val="center"/>
              <w:rPr>
                <w:rFonts w:ascii="仿宋_GB2312" w:eastAsia="仿宋_GB2312"/>
                <w:sz w:val="24"/>
              </w:rPr>
            </w:pPr>
            <w:r>
              <w:rPr>
                <w:rFonts w:ascii="仿宋_GB2312" w:eastAsia="仿宋_GB2312"/>
                <w:sz w:val="24"/>
              </w:rPr>
              <w:t>开</w:t>
            </w: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sz w:val="24"/>
              </w:rPr>
            </w:pPr>
            <w:r>
              <w:rPr>
                <w:rFonts w:ascii="仿宋_GB2312" w:eastAsia="仿宋_GB2312"/>
                <w:sz w:val="24"/>
              </w:rPr>
              <w:t>促进民营经济发展壮大</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8</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有相关职能的市直单位，未</w:t>
            </w:r>
            <w:r>
              <w:rPr>
                <w:rFonts w:ascii="仿宋_GB2312" w:eastAsia="仿宋_GB2312"/>
                <w:sz w:val="24"/>
              </w:rPr>
              <w:t>及时、规范</w:t>
            </w:r>
            <w:r>
              <w:rPr>
                <w:rFonts w:ascii="仿宋_GB2312" w:eastAsia="仿宋_GB2312"/>
                <w:sz w:val="24"/>
                <w:szCs w:val="24"/>
              </w:rPr>
              <w:t>向市政府办公室报送</w:t>
            </w:r>
            <w:r>
              <w:rPr>
                <w:rFonts w:hint="eastAsia" w:ascii="仿宋_GB2312" w:eastAsia="仿宋_GB2312"/>
                <w:sz w:val="24"/>
              </w:rPr>
              <w:t>“</w:t>
            </w:r>
            <w:r>
              <w:rPr>
                <w:rFonts w:ascii="仿宋_GB2312" w:eastAsia="仿宋_GB2312"/>
                <w:sz w:val="24"/>
              </w:rPr>
              <w:t>涉企优惠政策目录清单、涉企补贴资金、监管标准和规则、违规收费典型案例</w:t>
            </w:r>
            <w:r>
              <w:rPr>
                <w:rFonts w:hint="eastAsia" w:ascii="仿宋_GB2312" w:eastAsia="仿宋_GB2312"/>
                <w:sz w:val="24"/>
              </w:rPr>
              <w:t>”</w:t>
            </w:r>
            <w:r>
              <w:rPr>
                <w:rFonts w:ascii="仿宋_GB2312" w:eastAsia="仿宋_GB2312"/>
                <w:sz w:val="24"/>
              </w:rPr>
              <w:t>的，发现一项扣2分，扣分上限8分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根据市政府办公室工作记录扣分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食品药品监管</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未通过政府门户网站及时、规范、集中公开食品药品监管情况的（</w:t>
            </w:r>
            <w:r>
              <w:rPr>
                <w:rFonts w:hint="eastAsia" w:ascii="仿宋_GB2312" w:eastAsia="仿宋_GB2312" w:cs="仿宋"/>
                <w:color w:val="000000"/>
                <w:kern w:val="0"/>
                <w:sz w:val="24"/>
                <w:szCs w:val="24"/>
              </w:rPr>
              <w:t>如食品生产监督检查、食品安全抽检、药品零售经营监督检查等</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9" w:hRule="atLeast"/>
          <w:jc w:val="center"/>
        </w:trPr>
        <w:tc>
          <w:tcPr>
            <w:tcW w:w="833" w:type="dxa"/>
            <w:vMerge w:val="restart"/>
            <w:tcBorders>
              <w:tl2br w:val="nil"/>
              <w:tr2bl w:val="nil"/>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主</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动</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公</w:t>
            </w:r>
          </w:p>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开</w:t>
            </w:r>
          </w:p>
        </w:tc>
        <w:tc>
          <w:tcPr>
            <w:tcW w:w="706" w:type="dxa"/>
            <w:vMerge w:val="restart"/>
            <w:tcBorders>
              <w:left w:val="single" w:color="auto" w:sz="4" w:space="0"/>
              <w:right w:val="single" w:color="auto" w:sz="4" w:space="0"/>
              <w:tl2br w:val="nil"/>
              <w:tr2bl w:val="nil"/>
            </w:tcBorders>
            <w:vAlign w:val="center"/>
          </w:tcPr>
          <w:p>
            <w:pPr>
              <w:widowControl/>
              <w:spacing w:line="300" w:lineRule="exact"/>
              <w:jc w:val="center"/>
              <w:rPr>
                <w:rFonts w:ascii="仿宋_GB2312" w:eastAsia="仿宋_GB2312"/>
                <w:sz w:val="24"/>
              </w:rPr>
            </w:pPr>
            <w:r>
              <w:rPr>
                <w:rFonts w:ascii="仿宋_GB2312" w:eastAsia="仿宋_GB2312"/>
                <w:sz w:val="24"/>
              </w:rPr>
              <w:t>重</w:t>
            </w:r>
          </w:p>
          <w:p>
            <w:pPr>
              <w:widowControl/>
              <w:spacing w:line="300" w:lineRule="exact"/>
              <w:jc w:val="center"/>
              <w:rPr>
                <w:rFonts w:ascii="仿宋_GB2312" w:eastAsia="仿宋_GB2312"/>
                <w:sz w:val="24"/>
              </w:rPr>
            </w:pPr>
            <w:r>
              <w:rPr>
                <w:rFonts w:ascii="仿宋_GB2312" w:eastAsia="仿宋_GB2312"/>
                <w:sz w:val="24"/>
              </w:rPr>
              <w:t>点</w:t>
            </w:r>
          </w:p>
          <w:p>
            <w:pPr>
              <w:widowControl/>
              <w:spacing w:line="300" w:lineRule="exact"/>
              <w:jc w:val="center"/>
              <w:rPr>
                <w:rFonts w:ascii="仿宋_GB2312" w:eastAsia="仿宋_GB2312"/>
                <w:sz w:val="24"/>
              </w:rPr>
            </w:pPr>
            <w:r>
              <w:rPr>
                <w:rFonts w:ascii="仿宋_GB2312" w:eastAsia="仿宋_GB2312"/>
                <w:sz w:val="24"/>
              </w:rPr>
              <w:t>领</w:t>
            </w:r>
          </w:p>
          <w:p>
            <w:pPr>
              <w:widowControl/>
              <w:spacing w:line="300" w:lineRule="exact"/>
              <w:jc w:val="center"/>
              <w:rPr>
                <w:rFonts w:ascii="仿宋_GB2312" w:eastAsia="仿宋_GB2312"/>
                <w:sz w:val="24"/>
              </w:rPr>
            </w:pPr>
            <w:r>
              <w:rPr>
                <w:rFonts w:ascii="仿宋_GB2312" w:eastAsia="仿宋_GB2312"/>
                <w:sz w:val="24"/>
              </w:rPr>
              <w:t>域</w:t>
            </w:r>
          </w:p>
          <w:p>
            <w:pPr>
              <w:widowControl/>
              <w:spacing w:line="300" w:lineRule="exact"/>
              <w:jc w:val="center"/>
              <w:rPr>
                <w:rFonts w:ascii="仿宋_GB2312" w:eastAsia="仿宋_GB2312"/>
                <w:sz w:val="24"/>
              </w:rPr>
            </w:pPr>
            <w:r>
              <w:rPr>
                <w:rFonts w:ascii="仿宋_GB2312" w:eastAsia="仿宋_GB2312"/>
                <w:sz w:val="24"/>
              </w:rPr>
              <w:t>公</w:t>
            </w:r>
          </w:p>
          <w:p>
            <w:pPr>
              <w:widowControl/>
              <w:spacing w:line="300" w:lineRule="exact"/>
              <w:jc w:val="center"/>
              <w:rPr>
                <w:rFonts w:ascii="仿宋_GB2312" w:eastAsia="仿宋_GB2312"/>
                <w:sz w:val="24"/>
              </w:rPr>
            </w:pPr>
            <w:r>
              <w:rPr>
                <w:rFonts w:ascii="仿宋_GB2312" w:eastAsia="仿宋_GB2312"/>
                <w:sz w:val="24"/>
              </w:rPr>
              <w:t>开</w:t>
            </w: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稳岗就业</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未通过政府门户网站及时、规范、集中公开稳岗就业信息的（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就业政策</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就业指导</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就业服务等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养老服务</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未通过政府门户网站及时、规范、集中公开养老服务信息的（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扶持政策</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行业管理等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义务教育</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未通过政府门户网站及时、规范、集中公开义务教育信息的（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教育概况</w:t>
            </w:r>
            <w:r>
              <w:rPr>
                <w:rFonts w:hint="eastAsia" w:ascii="仿宋_GB2312" w:eastAsia="仿宋_GB2312" w:cs="仿宋"/>
                <w:color w:val="000000"/>
                <w:kern w:val="0"/>
                <w:sz w:val="24"/>
                <w:szCs w:val="24"/>
              </w:rPr>
              <w:t>、</w:t>
            </w:r>
            <w:r>
              <w:rPr>
                <w:rFonts w:ascii="仿宋_GB2312" w:eastAsia="仿宋_GB2312" w:cs="仿宋"/>
                <w:color w:val="000000"/>
                <w:kern w:val="0"/>
                <w:sz w:val="24"/>
                <w:szCs w:val="24"/>
              </w:rPr>
              <w:t>招生管理、学生资助奖励等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5"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涉农补贴</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未通过政府门户网站及时、规范、集中公开涉农补贴信息的（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补贴申报等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4"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公共文化服务</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未通过政府门户网站及时、规范、集中公开公共文化服务信息的（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公共文化机构免费开放、群众文化活动、展览讲座等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6" w:hRule="atLeast"/>
          <w:jc w:val="center"/>
        </w:trPr>
        <w:tc>
          <w:tcPr>
            <w:tcW w:w="833" w:type="dxa"/>
            <w:vMerge w:val="continue"/>
            <w:tcBorders>
              <w:tl2br w:val="nil"/>
              <w:tr2bl w:val="nil"/>
            </w:tcBorders>
            <w:vAlign w:val="center"/>
          </w:tcPr>
          <w:p/>
        </w:tc>
        <w:tc>
          <w:tcPr>
            <w:tcW w:w="706" w:type="dxa"/>
            <w:vMerge w:val="continue"/>
            <w:tcBorders>
              <w:left w:val="single" w:color="auto" w:sz="4" w:space="0"/>
              <w:right w:val="single" w:color="auto" w:sz="4" w:space="0"/>
              <w:tl2br w:val="nil"/>
              <w:tr2bl w:val="nil"/>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社会救助</w:t>
            </w:r>
          </w:p>
        </w:tc>
        <w:tc>
          <w:tcPr>
            <w:tcW w:w="564"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3</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sz w:val="24"/>
              </w:rPr>
            </w:pPr>
            <w:r>
              <w:rPr>
                <w:rFonts w:ascii="仿宋_GB2312" w:eastAsia="仿宋_GB2312" w:cs="仿宋"/>
                <w:color w:val="000000"/>
                <w:kern w:val="0"/>
                <w:sz w:val="24"/>
              </w:rPr>
              <w:t>有相关职能的市直单位，</w:t>
            </w:r>
            <w:r>
              <w:rPr>
                <w:rFonts w:ascii="仿宋_GB2312" w:eastAsia="仿宋_GB2312"/>
                <w:sz w:val="24"/>
              </w:rPr>
              <w:t>未通过政府门户网站及时、规范、集中公开</w:t>
            </w:r>
            <w:r>
              <w:rPr>
                <w:rFonts w:ascii="仿宋_GB2312" w:eastAsia="仿宋_GB2312" w:cs="仿宋"/>
                <w:color w:val="000000"/>
                <w:kern w:val="0"/>
                <w:sz w:val="24"/>
              </w:rPr>
              <w:t>社会救助</w:t>
            </w:r>
            <w:r>
              <w:rPr>
                <w:rFonts w:ascii="仿宋_GB2312" w:eastAsia="仿宋_GB2312"/>
                <w:sz w:val="24"/>
              </w:rPr>
              <w:t>信息的（</w:t>
            </w:r>
            <w:r>
              <w:rPr>
                <w:rFonts w:hint="eastAsia" w:ascii="仿宋_GB2312" w:eastAsia="仿宋_GB2312" w:cs="仿宋"/>
                <w:color w:val="000000"/>
                <w:kern w:val="0"/>
                <w:sz w:val="24"/>
                <w:szCs w:val="24"/>
              </w:rPr>
              <w:t>如</w:t>
            </w:r>
            <w:r>
              <w:rPr>
                <w:rFonts w:ascii="仿宋_GB2312" w:eastAsia="仿宋_GB2312" w:cs="仿宋"/>
                <w:color w:val="000000"/>
                <w:kern w:val="0"/>
                <w:sz w:val="24"/>
                <w:szCs w:val="24"/>
              </w:rPr>
              <w:t>救助政策、办事指南、监督检查等</w:t>
            </w:r>
            <w:r>
              <w:rPr>
                <w:rFonts w:hint="eastAsia" w:ascii="仿宋_GB2312" w:eastAsia="仿宋_GB2312" w:cs="仿宋"/>
                <w:color w:val="000000"/>
                <w:kern w:val="0"/>
                <w:sz w:val="24"/>
                <w:szCs w:val="24"/>
              </w:rPr>
              <w:t>信息</w:t>
            </w:r>
            <w:r>
              <w:rPr>
                <w:rFonts w:ascii="仿宋_GB2312" w:eastAsia="仿宋_GB2312"/>
                <w:sz w:val="24"/>
              </w:rPr>
              <w:t>），发现一件扣1分，扣分上限3分</w:t>
            </w:r>
          </w:p>
        </w:tc>
        <w:tc>
          <w:tcPr>
            <w:tcW w:w="2745" w:type="dxa"/>
            <w:tcBorders>
              <w:left w:val="single" w:color="auto" w:sz="4" w:space="0"/>
              <w:right w:val="single" w:color="auto" w:sz="4" w:space="0"/>
            </w:tcBorders>
            <w:vAlign w:val="center"/>
          </w:tcPr>
          <w:p>
            <w:pPr>
              <w:jc w:val="center"/>
              <w:rPr>
                <w:rFonts w:ascii="仿宋_GB2312" w:eastAsia="仿宋_GB2312"/>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6" w:hRule="atLeast"/>
          <w:jc w:val="center"/>
        </w:trPr>
        <w:tc>
          <w:tcPr>
            <w:tcW w:w="833" w:type="dxa"/>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依</w:t>
            </w:r>
          </w:p>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申</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请</w:t>
            </w:r>
          </w:p>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公</w:t>
            </w:r>
          </w:p>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开</w:t>
            </w:r>
          </w:p>
        </w:tc>
        <w:tc>
          <w:tcPr>
            <w:tcW w:w="2973" w:type="dxa"/>
            <w:gridSpan w:val="2"/>
            <w:tcBorders>
              <w:left w:val="single" w:color="auto" w:sz="4" w:space="0"/>
              <w:right w:val="single" w:color="auto" w:sz="4" w:space="0"/>
            </w:tcBorders>
            <w:vAlign w:val="center"/>
          </w:tcPr>
          <w:p>
            <w:pPr>
              <w:widowControl/>
              <w:spacing w:line="300" w:lineRule="exact"/>
              <w:jc w:val="center"/>
              <w:rPr>
                <w:rFonts w:hint="eastAsia" w:ascii="仿宋_GB2312" w:eastAsia="仿宋_GB2312"/>
                <w:sz w:val="24"/>
              </w:rPr>
            </w:pPr>
            <w:r>
              <w:rPr>
                <w:rFonts w:hint="eastAsia" w:ascii="仿宋_GB2312" w:eastAsia="仿宋_GB2312"/>
                <w:sz w:val="24"/>
              </w:rPr>
              <w:t>规范</w:t>
            </w:r>
            <w:r>
              <w:rPr>
                <w:rFonts w:hint="eastAsia" w:ascii="仿宋_GB2312" w:eastAsia="仿宋_GB2312" w:cs="仿宋"/>
                <w:color w:val="000000"/>
                <w:kern w:val="0"/>
                <w:sz w:val="24"/>
              </w:rPr>
              <w:t>答复</w:t>
            </w:r>
          </w:p>
        </w:tc>
        <w:tc>
          <w:tcPr>
            <w:tcW w:w="564"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4</w:t>
            </w:r>
          </w:p>
        </w:tc>
        <w:tc>
          <w:tcPr>
            <w:tcW w:w="5242" w:type="dxa"/>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答复市政府转办的信息公开申请时，答复不规范、不及时的，每件扣1分，</w:t>
            </w:r>
            <w:r>
              <w:rPr>
                <w:rFonts w:hint="eastAsia" w:ascii="仿宋_GB2312" w:eastAsia="仿宋_GB2312" w:cs="仿宋"/>
                <w:color w:val="000000"/>
                <w:kern w:val="0"/>
                <w:sz w:val="24"/>
              </w:rPr>
              <w:t>扣分上限为</w:t>
            </w:r>
            <w:r>
              <w:rPr>
                <w:rFonts w:ascii="仿宋_GB2312" w:eastAsia="仿宋_GB2312" w:cs="仿宋"/>
                <w:color w:val="000000"/>
                <w:kern w:val="0"/>
                <w:sz w:val="24"/>
              </w:rPr>
              <w:t>4</w:t>
            </w:r>
            <w:r>
              <w:rPr>
                <w:rFonts w:hint="eastAsia" w:ascii="仿宋_GB2312" w:eastAsia="仿宋_GB2312" w:cs="仿宋"/>
                <w:color w:val="000000"/>
                <w:kern w:val="0"/>
                <w:sz w:val="24"/>
              </w:rPr>
              <w:t>分</w:t>
            </w:r>
          </w:p>
        </w:tc>
        <w:tc>
          <w:tcPr>
            <w:tcW w:w="2745" w:type="dxa"/>
            <w:tcBorders>
              <w:left w:val="single" w:color="auto" w:sz="4" w:space="0"/>
              <w:right w:val="single" w:color="auto" w:sz="4" w:space="0"/>
            </w:tcBorders>
            <w:vAlign w:val="center"/>
          </w:tcPr>
          <w:p>
            <w:pPr>
              <w:jc w:val="center"/>
              <w:rPr>
                <w:rFonts w:hint="eastAsia" w:ascii="仿宋_GB2312" w:eastAsia="仿宋_GB2312"/>
                <w:sz w:val="24"/>
              </w:rPr>
            </w:pPr>
            <w:r>
              <w:rPr>
                <w:rFonts w:hint="eastAsia" w:ascii="仿宋_GB2312" w:eastAsia="仿宋_GB2312"/>
                <w:sz w:val="24"/>
              </w:rPr>
              <w:t>－</w:t>
            </w:r>
          </w:p>
        </w:tc>
        <w:tc>
          <w:tcPr>
            <w:tcW w:w="2059" w:type="dxa"/>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根据</w:t>
            </w:r>
            <w:r>
              <w:rPr>
                <w:rFonts w:hint="eastAsia" w:ascii="仿宋_GB2312" w:eastAsia="仿宋_GB2312" w:cs="仿宋"/>
                <w:color w:val="000000"/>
                <w:kern w:val="0"/>
                <w:sz w:val="24"/>
              </w:rPr>
              <w:t>抽查</w:t>
            </w:r>
            <w:r>
              <w:rPr>
                <w:rFonts w:ascii="仿宋_GB2312" w:eastAsia="仿宋_GB2312" w:cs="仿宋"/>
                <w:color w:val="000000"/>
                <w:kern w:val="0"/>
                <w:sz w:val="24"/>
              </w:rPr>
              <w:t>情况扣分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9" w:hRule="atLeast"/>
          <w:jc w:val="center"/>
        </w:trPr>
        <w:tc>
          <w:tcPr>
            <w:tcW w:w="833" w:type="dxa"/>
            <w:vMerge w:val="restart"/>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政策解及</w:t>
            </w:r>
          </w:p>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公众参与</w:t>
            </w:r>
          </w:p>
        </w:tc>
        <w:tc>
          <w:tcPr>
            <w:tcW w:w="706" w:type="dxa"/>
            <w:vMerge w:val="restart"/>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政策解读</w:t>
            </w:r>
          </w:p>
        </w:tc>
        <w:tc>
          <w:tcPr>
            <w:tcW w:w="2267"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多样化解读</w:t>
            </w:r>
          </w:p>
        </w:tc>
        <w:tc>
          <w:tcPr>
            <w:tcW w:w="564"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5242"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745" w:type="dxa"/>
            <w:vMerge w:val="restart"/>
            <w:tcBorders>
              <w:left w:val="single" w:color="auto" w:sz="4" w:space="0"/>
              <w:right w:val="single" w:color="auto" w:sz="4" w:space="0"/>
            </w:tcBorders>
            <w:vAlign w:val="center"/>
          </w:tcPr>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部门印发的正式文件、以市政府和市政府办名义印发的文件，通过文字解读、图片解读、音频解读、视频解读、政策宣讲会、新闻发布会、培训会等方式中三种及以上方式开展政策解读的，</w:t>
            </w:r>
            <w:r>
              <w:rPr>
                <w:rFonts w:hint="eastAsia" w:ascii="仿宋_GB2312" w:eastAsia="仿宋_GB2312" w:cs="仿宋"/>
                <w:color w:val="000000"/>
                <w:kern w:val="0"/>
                <w:sz w:val="24"/>
              </w:rPr>
              <w:t>每一</w:t>
            </w:r>
            <w:r>
              <w:rPr>
                <w:rFonts w:ascii="仿宋_GB2312" w:eastAsia="仿宋_GB2312" w:cs="仿宋"/>
                <w:color w:val="000000"/>
                <w:kern w:val="0"/>
                <w:sz w:val="24"/>
              </w:rPr>
              <w:t>文件</w:t>
            </w:r>
            <w:r>
              <w:rPr>
                <w:rFonts w:hint="eastAsia" w:ascii="仿宋_GB2312" w:eastAsia="仿宋_GB2312" w:cs="仿宋"/>
                <w:color w:val="000000"/>
                <w:kern w:val="0"/>
                <w:sz w:val="24"/>
              </w:rPr>
              <w:t>加</w:t>
            </w:r>
            <w:r>
              <w:rPr>
                <w:rFonts w:ascii="仿宋_GB2312" w:eastAsia="仿宋_GB2312" w:cs="仿宋"/>
                <w:color w:val="000000"/>
                <w:kern w:val="0"/>
                <w:sz w:val="24"/>
              </w:rPr>
              <w:t>2</w:t>
            </w:r>
            <w:r>
              <w:rPr>
                <w:rFonts w:hint="eastAsia" w:ascii="仿宋_GB2312" w:eastAsia="仿宋_GB2312" w:cs="仿宋"/>
                <w:color w:val="000000"/>
                <w:kern w:val="0"/>
                <w:sz w:val="24"/>
              </w:rPr>
              <w:t>分</w:t>
            </w:r>
            <w:r>
              <w:rPr>
                <w:rFonts w:ascii="仿宋_GB2312" w:eastAsia="仿宋_GB2312" w:cs="仿宋"/>
                <w:color w:val="000000"/>
                <w:kern w:val="0"/>
                <w:sz w:val="24"/>
              </w:rPr>
              <w:t>，加分上限6分</w:t>
            </w:r>
          </w:p>
        </w:tc>
        <w:tc>
          <w:tcPr>
            <w:tcW w:w="2059"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jc w:val="center"/>
        </w:trPr>
        <w:tc>
          <w:tcPr>
            <w:tcW w:w="835" w:type="dxa"/>
            <w:vMerge w:val="continue"/>
            <w:vAlign w:val="center"/>
          </w:tcPr>
          <w:p/>
        </w:tc>
        <w:tc>
          <w:tcPr>
            <w:tcW w:w="708"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以市政府和市政府办公室名义印发</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文件的解读情况</w:t>
            </w:r>
          </w:p>
        </w:tc>
        <w:tc>
          <w:tcPr>
            <w:tcW w:w="564" w:type="dxa"/>
            <w:tcBorders>
              <w:tl2br w:val="nil"/>
              <w:tr2bl w:val="nil"/>
            </w:tcBorders>
            <w:vAlign w:val="center"/>
          </w:tcPr>
          <w:p>
            <w:pPr>
              <w:widowControl/>
              <w:spacing w:line="300" w:lineRule="exact"/>
              <w:jc w:val="center"/>
              <w:rPr>
                <w:rFonts w:ascii="仿宋_GB2312" w:eastAsia="仿宋_GB2312"/>
                <w:sz w:val="24"/>
              </w:rPr>
            </w:pPr>
            <w:r>
              <w:rPr>
                <w:rFonts w:ascii="仿宋_GB2312" w:eastAsia="仿宋_GB2312" w:cs="仿宋"/>
                <w:color w:val="000000"/>
                <w:kern w:val="0"/>
                <w:sz w:val="24"/>
              </w:rPr>
              <w:t>-</w:t>
            </w:r>
          </w:p>
        </w:tc>
        <w:tc>
          <w:tcPr>
            <w:tcW w:w="5242" w:type="dxa"/>
            <w:tcBorders>
              <w:tl2br w:val="nil"/>
              <w:tr2bl w:val="nil"/>
            </w:tcBorders>
            <w:vAlign w:val="center"/>
          </w:tcPr>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w:t>
            </w:r>
          </w:p>
        </w:tc>
        <w:tc>
          <w:tcPr>
            <w:tcW w:w="2745" w:type="dxa"/>
            <w:vMerge w:val="continue"/>
            <w:tcBorders>
              <w:left w:val="single" w:color="auto" w:sz="4" w:space="0"/>
              <w:right w:val="single" w:color="auto" w:sz="4" w:space="0"/>
            </w:tcBorders>
            <w:vAlign w:val="center"/>
          </w:tcPr>
          <w:p/>
        </w:tc>
        <w:tc>
          <w:tcPr>
            <w:tcW w:w="2059" w:type="dxa"/>
            <w:tcBorders>
              <w:tl2br w:val="nil"/>
              <w:tr2bl w:val="nil"/>
            </w:tcBorders>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833" w:type="dxa"/>
            <w:vMerge w:val="restart"/>
            <w:vAlign w:val="center"/>
          </w:tcPr>
          <w:p>
            <w:pPr>
              <w:ind w:left="0"/>
              <w:jc w:val="center"/>
              <w:rPr>
                <w:rFonts w:ascii="仿宋_GB2312" w:eastAsia="仿宋_GB2312" w:cs="仿宋"/>
                <w:color w:val="000000"/>
                <w:kern w:val="0"/>
                <w:sz w:val="24"/>
              </w:rPr>
            </w:pPr>
            <w:r>
              <w:rPr>
                <w:rFonts w:ascii="仿宋_GB2312" w:eastAsia="仿宋_GB2312" w:cs="仿宋"/>
                <w:color w:val="000000"/>
                <w:kern w:val="0"/>
                <w:sz w:val="24"/>
              </w:rPr>
              <w:t>公</w:t>
            </w:r>
          </w:p>
          <w:p>
            <w:pPr>
              <w:ind w:left="0"/>
              <w:jc w:val="center"/>
              <w:rPr>
                <w:rFonts w:ascii="仿宋_GB2312" w:eastAsia="仿宋_GB2312" w:cs="仿宋"/>
                <w:color w:val="000000"/>
                <w:kern w:val="0"/>
                <w:sz w:val="24"/>
              </w:rPr>
            </w:pPr>
            <w:r>
              <w:rPr>
                <w:rFonts w:ascii="仿宋_GB2312" w:eastAsia="仿宋_GB2312" w:cs="仿宋"/>
                <w:color w:val="000000"/>
                <w:kern w:val="0"/>
                <w:sz w:val="24"/>
              </w:rPr>
              <w:t>开</w:t>
            </w:r>
          </w:p>
          <w:p>
            <w:pPr>
              <w:ind w:left="0"/>
              <w:jc w:val="center"/>
              <w:rPr>
                <w:rFonts w:ascii="仿宋_GB2312" w:eastAsia="仿宋_GB2312" w:cs="仿宋"/>
                <w:color w:val="000000"/>
                <w:kern w:val="0"/>
                <w:sz w:val="24"/>
              </w:rPr>
            </w:pPr>
            <w:r>
              <w:rPr>
                <w:rFonts w:ascii="仿宋_GB2312" w:eastAsia="仿宋_GB2312" w:cs="仿宋"/>
                <w:color w:val="000000"/>
                <w:kern w:val="0"/>
                <w:sz w:val="24"/>
              </w:rPr>
              <w:t>渠</w:t>
            </w:r>
          </w:p>
          <w:p>
            <w:pPr>
              <w:jc w:val="center"/>
            </w:pPr>
            <w:r>
              <w:rPr>
                <w:rFonts w:ascii="仿宋_GB2312" w:eastAsia="仿宋_GB2312" w:cs="仿宋"/>
                <w:color w:val="000000"/>
                <w:kern w:val="0"/>
                <w:sz w:val="24"/>
              </w:rPr>
              <w:t>道</w:t>
            </w:r>
          </w:p>
        </w:tc>
        <w:tc>
          <w:tcPr>
            <w:tcW w:w="706" w:type="dxa"/>
            <w:vMerge w:val="restart"/>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政府网站和政务新媒体</w:t>
            </w:r>
          </w:p>
        </w:tc>
        <w:tc>
          <w:tcPr>
            <w:tcW w:w="2267"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网站信息维护</w:t>
            </w:r>
          </w:p>
        </w:tc>
        <w:tc>
          <w:tcPr>
            <w:tcW w:w="564"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15</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sz w:val="24"/>
              </w:rPr>
              <w:t>本单位在政府门户网站开设的政务公开专栏主要</w:t>
            </w:r>
            <w:r>
              <w:rPr>
                <w:rFonts w:ascii="仿宋_GB2312" w:eastAsia="仿宋_GB2312" w:cs="仿宋"/>
                <w:color w:val="000000"/>
                <w:kern w:val="0"/>
                <w:sz w:val="24"/>
              </w:rPr>
              <w:t>栏目更新维护不及时的，扣3分；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因存在安全事故、严重表述错误、断链错链等问题被通报或约谈的，每通报或约谈一次扣3分，扣分上限12分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hint="eastAsia" w:ascii="仿宋_GB2312" w:eastAsia="仿宋_GB2312" w:cs="仿宋"/>
                <w:color w:val="000000"/>
                <w:kern w:val="0"/>
                <w:sz w:val="24"/>
              </w:rPr>
              <w:t>网上检查</w:t>
            </w:r>
            <w:r>
              <w:rPr>
                <w:rFonts w:ascii="仿宋_GB2312" w:eastAsia="仿宋_GB2312" w:cs="仿宋"/>
                <w:color w:val="000000"/>
                <w:kern w:val="0"/>
                <w:sz w:val="24"/>
              </w:rPr>
              <w:t>+查询通报约谈记录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9" w:hRule="atLeast"/>
          <w:jc w:val="center"/>
        </w:trPr>
        <w:tc>
          <w:tcPr>
            <w:tcW w:w="834" w:type="dxa"/>
            <w:vMerge w:val="continue"/>
            <w:vAlign w:val="center"/>
          </w:tcPr>
          <w:p/>
        </w:tc>
        <w:tc>
          <w:tcPr>
            <w:tcW w:w="707"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政务新媒体</w:t>
            </w:r>
          </w:p>
          <w:p>
            <w:pPr>
              <w:widowControl/>
              <w:spacing w:line="300" w:lineRule="exact"/>
              <w:jc w:val="center"/>
              <w:rPr>
                <w:rFonts w:hint="eastAsia" w:ascii="仿宋_GB2312" w:eastAsia="仿宋_GB2312" w:cs="仿宋"/>
                <w:color w:val="000000"/>
                <w:kern w:val="0"/>
                <w:sz w:val="24"/>
              </w:rPr>
            </w:pPr>
            <w:r>
              <w:rPr>
                <w:rFonts w:ascii="仿宋_GB2312" w:eastAsia="仿宋_GB2312" w:cs="仿宋"/>
                <w:color w:val="000000"/>
                <w:kern w:val="0"/>
                <w:sz w:val="24"/>
              </w:rPr>
              <w:t>信息维护</w:t>
            </w:r>
          </w:p>
        </w:tc>
        <w:tc>
          <w:tcPr>
            <w:tcW w:w="564" w:type="dxa"/>
            <w:tcBorders>
              <w:left w:val="single" w:color="auto" w:sz="4" w:space="0"/>
              <w:right w:val="single" w:color="auto" w:sz="4" w:space="0"/>
            </w:tcBorders>
            <w:vAlign w:val="center"/>
          </w:tcPr>
          <w:p>
            <w:pPr>
              <w:widowControl/>
              <w:jc w:val="center"/>
              <w:rPr>
                <w:rFonts w:hint="eastAsia" w:ascii="仿宋_GB2312" w:eastAsia="仿宋_GB2312" w:cs="仿宋"/>
                <w:color w:val="000000"/>
                <w:kern w:val="0"/>
                <w:sz w:val="24"/>
              </w:rPr>
            </w:pPr>
            <w:r>
              <w:rPr>
                <w:rFonts w:ascii="仿宋_GB2312" w:eastAsia="仿宋_GB2312" w:cs="仿宋"/>
                <w:color w:val="000000"/>
                <w:kern w:val="0"/>
                <w:sz w:val="24"/>
              </w:rPr>
              <w:t>15</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政务新媒体更新不及时、功能不可用的，扣4分；</w:t>
            </w:r>
          </w:p>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违规开设政务新媒体的，扣5分；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因存在安全事故、严重表述错误、断链错链等问题被通报或约谈的，每通报或约谈一次扣3分，扣分上限6分</w:t>
            </w:r>
          </w:p>
        </w:tc>
        <w:tc>
          <w:tcPr>
            <w:tcW w:w="2745" w:type="dxa"/>
            <w:tcBorders>
              <w:left w:val="single" w:color="auto" w:sz="4" w:space="0"/>
              <w:right w:val="single" w:color="auto" w:sz="4" w:space="0"/>
            </w:tcBorders>
            <w:vAlign w:val="center"/>
          </w:tcPr>
          <w:p>
            <w:pPr>
              <w:widowControl/>
              <w:spacing w:line="300" w:lineRule="exact"/>
              <w:jc w:val="center"/>
              <w:rPr>
                <w:rFonts w:hint="eastAsia"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网上检查</w:t>
            </w:r>
            <w:r>
              <w:rPr>
                <w:rFonts w:ascii="仿宋_GB2312" w:eastAsia="仿宋_GB2312" w:cs="仿宋"/>
                <w:color w:val="000000"/>
                <w:kern w:val="0"/>
                <w:sz w:val="24"/>
              </w:rPr>
              <w:t>+查询通报约谈记录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833" w:type="dxa"/>
            <w:vMerge w:val="restart"/>
            <w:tcBorders>
              <w:tl2br w:val="nil"/>
              <w:tr2bl w:val="nil"/>
            </w:tcBorders>
            <w:vAlign w:val="center"/>
          </w:tcPr>
          <w:p>
            <w:pPr>
              <w:ind w:left="0"/>
              <w:jc w:val="center"/>
              <w:rPr>
                <w:rFonts w:ascii="仿宋_GB2312" w:eastAsia="仿宋_GB2312" w:cs="仿宋"/>
                <w:color w:val="000000"/>
                <w:kern w:val="0"/>
                <w:sz w:val="24"/>
              </w:rPr>
            </w:pPr>
            <w:r>
              <w:rPr>
                <w:rFonts w:ascii="仿宋_GB2312" w:eastAsia="仿宋_GB2312" w:cs="仿宋"/>
                <w:color w:val="000000"/>
                <w:kern w:val="0"/>
                <w:sz w:val="24"/>
              </w:rPr>
              <w:t>公</w:t>
            </w:r>
          </w:p>
          <w:p>
            <w:pPr>
              <w:ind w:left="0"/>
              <w:jc w:val="center"/>
              <w:rPr>
                <w:rFonts w:ascii="仿宋_GB2312" w:eastAsia="仿宋_GB2312" w:cs="仿宋"/>
                <w:color w:val="000000"/>
                <w:kern w:val="0"/>
                <w:sz w:val="24"/>
              </w:rPr>
            </w:pPr>
            <w:r>
              <w:rPr>
                <w:rFonts w:ascii="仿宋_GB2312" w:eastAsia="仿宋_GB2312" w:cs="仿宋"/>
                <w:color w:val="000000"/>
                <w:kern w:val="0"/>
                <w:sz w:val="24"/>
              </w:rPr>
              <w:t>开</w:t>
            </w:r>
          </w:p>
          <w:p>
            <w:pPr>
              <w:ind w:left="0"/>
              <w:jc w:val="center"/>
              <w:rPr>
                <w:rFonts w:ascii="仿宋_GB2312" w:eastAsia="仿宋_GB2312" w:cs="仿宋"/>
                <w:color w:val="000000"/>
                <w:kern w:val="0"/>
                <w:sz w:val="24"/>
              </w:rPr>
            </w:pPr>
            <w:r>
              <w:rPr>
                <w:rFonts w:ascii="仿宋_GB2312" w:eastAsia="仿宋_GB2312" w:cs="仿宋"/>
                <w:color w:val="000000"/>
                <w:kern w:val="0"/>
                <w:sz w:val="24"/>
              </w:rPr>
              <w:t>渠</w:t>
            </w:r>
          </w:p>
          <w:p>
            <w:pPr>
              <w:jc w:val="center"/>
              <w:rPr>
                <w:rFonts w:ascii="仿宋_GB2312" w:eastAsia="仿宋_GB2312" w:cs="仿宋"/>
                <w:color w:val="000000"/>
                <w:kern w:val="0"/>
                <w:sz w:val="24"/>
              </w:rPr>
            </w:pPr>
            <w:r>
              <w:rPr>
                <w:rFonts w:ascii="仿宋_GB2312" w:eastAsia="仿宋_GB2312" w:cs="仿宋"/>
                <w:color w:val="000000"/>
                <w:kern w:val="0"/>
                <w:sz w:val="24"/>
              </w:rPr>
              <w:t>道</w:t>
            </w:r>
          </w:p>
        </w:tc>
        <w:tc>
          <w:tcPr>
            <w:tcW w:w="706" w:type="dxa"/>
            <w:vMerge w:val="restart"/>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政府网站和政务新媒体</w:t>
            </w: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网站和新媒体</w:t>
            </w:r>
          </w:p>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整改情况</w:t>
            </w:r>
          </w:p>
        </w:tc>
        <w:tc>
          <w:tcPr>
            <w:tcW w:w="564" w:type="dxa"/>
            <w:tcBorders>
              <w:left w:val="single" w:color="auto" w:sz="4" w:space="0"/>
              <w:right w:val="single" w:color="auto" w:sz="4" w:space="0"/>
            </w:tcBorders>
            <w:vAlign w:val="center"/>
          </w:tcPr>
          <w:p>
            <w:pPr>
              <w:widowControl/>
              <w:jc w:val="center"/>
              <w:rPr>
                <w:rFonts w:ascii="仿宋_GB2312" w:eastAsia="仿宋_GB2312" w:cs="仿宋"/>
                <w:color w:val="000000"/>
                <w:kern w:val="0"/>
                <w:sz w:val="24"/>
              </w:rPr>
            </w:pPr>
            <w:r>
              <w:rPr>
                <w:rFonts w:ascii="仿宋_GB2312" w:eastAsia="仿宋_GB2312" w:cs="仿宋"/>
                <w:color w:val="000000"/>
                <w:kern w:val="0"/>
                <w:sz w:val="24"/>
              </w:rPr>
              <w:t>8</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未根据国办、省政府办公厅、市政府办公室通报整改落实的，有一次扣4分，扣分上限8分</w:t>
            </w:r>
          </w:p>
        </w:tc>
        <w:tc>
          <w:tcPr>
            <w:tcW w:w="2745"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查询通报情况+被考核单位提供相关印证材料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834" w:type="dxa"/>
            <w:vMerge w:val="continue"/>
            <w:vAlign w:val="center"/>
          </w:tcPr>
          <w:p/>
        </w:tc>
        <w:tc>
          <w:tcPr>
            <w:tcW w:w="707" w:type="dxa"/>
            <w:vMerge w:val="continue"/>
            <w:tcBorders>
              <w:left w:val="single" w:color="auto" w:sz="4" w:space="0"/>
              <w:right w:val="single" w:color="auto" w:sz="4" w:space="0"/>
            </w:tcBorders>
            <w:vAlign w:val="center"/>
          </w:tcPr>
          <w:p/>
        </w:tc>
        <w:tc>
          <w:tcPr>
            <w:tcW w:w="2267"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ascii="仿宋_GB2312" w:eastAsia="仿宋_GB2312" w:cs="仿宋"/>
                <w:color w:val="000000"/>
                <w:kern w:val="0"/>
                <w:sz w:val="24"/>
              </w:rPr>
              <w:t>网站与新媒体报送系统数据维护情况</w:t>
            </w:r>
          </w:p>
        </w:tc>
        <w:tc>
          <w:tcPr>
            <w:tcW w:w="564" w:type="dxa"/>
            <w:tcBorders>
              <w:left w:val="single" w:color="auto" w:sz="4" w:space="0"/>
              <w:right w:val="single" w:color="auto" w:sz="4" w:space="0"/>
            </w:tcBorders>
            <w:vAlign w:val="center"/>
          </w:tcPr>
          <w:p>
            <w:pPr>
              <w:widowControl/>
              <w:jc w:val="center"/>
              <w:rPr>
                <w:rFonts w:ascii="仿宋_GB2312" w:eastAsia="仿宋_GB2312" w:cs="仿宋"/>
                <w:color w:val="000000"/>
                <w:kern w:val="0"/>
                <w:sz w:val="24"/>
              </w:rPr>
            </w:pPr>
            <w:r>
              <w:rPr>
                <w:rFonts w:ascii="仿宋_GB2312" w:eastAsia="仿宋_GB2312" w:cs="仿宋"/>
                <w:color w:val="000000"/>
                <w:kern w:val="0"/>
                <w:sz w:val="24"/>
              </w:rPr>
              <w:t>2</w:t>
            </w:r>
          </w:p>
        </w:tc>
        <w:tc>
          <w:tcPr>
            <w:tcW w:w="5242" w:type="dxa"/>
            <w:tcBorders>
              <w:left w:val="single" w:color="auto" w:sz="4" w:space="0"/>
              <w:right w:val="single" w:color="auto" w:sz="4" w:space="0"/>
            </w:tcBorders>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全国政府网站信息报送系统、全国政务新媒体信息报送系统中信息更新维护不准确、不及时的，或存在漏报瞒报的，每发现一处，扣1分，扣分上限为2分</w:t>
            </w:r>
          </w:p>
        </w:tc>
        <w:tc>
          <w:tcPr>
            <w:tcW w:w="2745" w:type="dxa"/>
            <w:tcBorders>
              <w:left w:val="single" w:color="auto" w:sz="4" w:space="0"/>
              <w:right w:val="single" w:color="auto" w:sz="4" w:space="0"/>
            </w:tcBorders>
            <w:vAlign w:val="center"/>
          </w:tcPr>
          <w:p>
            <w:pPr>
              <w:widowControl/>
              <w:spacing w:line="300" w:lineRule="exact"/>
              <w:jc w:val="center"/>
              <w:rPr>
                <w:rFonts w:ascii="仿宋_GB2312" w:eastAsia="仿宋_GB2312" w:cs="仿宋"/>
                <w:color w:val="000000"/>
                <w:kern w:val="0"/>
                <w:sz w:val="24"/>
              </w:rPr>
            </w:pPr>
            <w:r>
              <w:rPr>
                <w:rFonts w:hint="eastAsia" w:ascii="仿宋_GB2312" w:eastAsia="仿宋_GB2312" w:cs="仿宋"/>
                <w:color w:val="000000"/>
                <w:kern w:val="0"/>
                <w:sz w:val="24"/>
              </w:rPr>
              <w:t>－</w:t>
            </w:r>
          </w:p>
        </w:tc>
        <w:tc>
          <w:tcPr>
            <w:tcW w:w="2059" w:type="dxa"/>
            <w:vAlign w:val="center"/>
          </w:tcPr>
          <w:p>
            <w:pPr>
              <w:widowControl/>
              <w:spacing w:line="300" w:lineRule="exact"/>
              <w:rPr>
                <w:rFonts w:ascii="仿宋_GB2312" w:eastAsia="仿宋_GB2312" w:cs="仿宋"/>
                <w:color w:val="000000"/>
                <w:kern w:val="0"/>
                <w:sz w:val="24"/>
              </w:rPr>
            </w:pPr>
            <w:r>
              <w:rPr>
                <w:rFonts w:ascii="仿宋_GB2312" w:eastAsia="仿宋_GB2312" w:cs="仿宋"/>
                <w:color w:val="000000"/>
                <w:kern w:val="0"/>
                <w:sz w:val="24"/>
              </w:rPr>
              <w:t>根据国办及省、市通报倒查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0" w:hRule="atLeast"/>
          <w:jc w:val="center"/>
        </w:trPr>
        <w:tc>
          <w:tcPr>
            <w:tcW w:w="833" w:type="dxa"/>
            <w:vAlign w:val="center"/>
          </w:tcPr>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综</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合</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加</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分</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项</w:t>
            </w:r>
          </w:p>
        </w:tc>
        <w:tc>
          <w:tcPr>
            <w:tcW w:w="11523" w:type="dxa"/>
            <w:gridSpan w:val="5"/>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（一）因成绩突出受到国家级、省部级表彰的先进或优秀单位（可累计），每项加5分；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（二）因成绩突出，被人民日报、中国政府网、中央电视台、新华网主站正面专题报道的；被省领导批示表扬或在全省大会上点名表扬的，每项加3分；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（三）市政务公开领导小组在考核中发现的其他情形，加分酌情而定。</w:t>
            </w:r>
          </w:p>
        </w:tc>
        <w:tc>
          <w:tcPr>
            <w:tcW w:w="2059"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被考核单位提供相关印证材料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4" w:hRule="atLeast"/>
          <w:jc w:val="center"/>
        </w:trPr>
        <w:tc>
          <w:tcPr>
            <w:tcW w:w="833" w:type="dxa"/>
            <w:vAlign w:val="center"/>
          </w:tcPr>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重</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大</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扣</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分</w:t>
            </w:r>
          </w:p>
          <w:p>
            <w:pPr>
              <w:widowControl/>
              <w:jc w:val="center"/>
              <w:rPr>
                <w:rFonts w:hint="eastAsia" w:ascii="仿宋_GB2312" w:eastAsia="仿宋_GB2312" w:cs="仿宋"/>
                <w:color w:val="000000"/>
                <w:kern w:val="0"/>
                <w:sz w:val="24"/>
              </w:rPr>
            </w:pPr>
            <w:r>
              <w:rPr>
                <w:rFonts w:hint="eastAsia" w:ascii="仿宋_GB2312" w:eastAsia="仿宋_GB2312" w:cs="仿宋"/>
                <w:color w:val="000000"/>
                <w:kern w:val="0"/>
                <w:sz w:val="24"/>
              </w:rPr>
              <w:t>项</w:t>
            </w:r>
          </w:p>
        </w:tc>
        <w:tc>
          <w:tcPr>
            <w:tcW w:w="11523" w:type="dxa"/>
            <w:gridSpan w:val="5"/>
            <w:tcBorders>
              <w:left w:val="single" w:color="auto" w:sz="4" w:space="0"/>
              <w:right w:val="single" w:color="auto" w:sz="4" w:space="0"/>
            </w:tcBorders>
            <w:vAlign w:val="center"/>
          </w:tcPr>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（一）政府公报、政府网站、政务新媒体等公开平台出现严重低级错误被通报或引起较大范围负面舆情的，扣5分；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（二）未严格落实政府信息公开保密审查制度，造成失泄密问题的，扣5分；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（三）因政策解读、回应公众关切不及时、不妥当引起较大范围负面舆情的，扣5分；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（四）在接受政务公开工作考核时弄虚作假的，扣5分；</w:t>
            </w:r>
          </w:p>
          <w:p>
            <w:pPr>
              <w:widowControl/>
              <w:spacing w:line="300" w:lineRule="exact"/>
              <w:jc w:val="left"/>
              <w:rPr>
                <w:rFonts w:ascii="仿宋_GB2312" w:eastAsia="仿宋_GB2312" w:cs="仿宋"/>
                <w:color w:val="000000"/>
                <w:kern w:val="0"/>
                <w:sz w:val="24"/>
              </w:rPr>
            </w:pPr>
            <w:r>
              <w:rPr>
                <w:rFonts w:ascii="仿宋_GB2312" w:eastAsia="仿宋_GB2312" w:cs="仿宋"/>
                <w:color w:val="000000"/>
                <w:kern w:val="0"/>
                <w:sz w:val="24"/>
              </w:rPr>
              <w:t>（五）出现《山西省政务公开工作考核办法（试行）》第十五条规定的情形的，扣5分；</w:t>
            </w:r>
          </w:p>
          <w:p>
            <w:pPr>
              <w:widowControl/>
              <w:spacing w:line="300" w:lineRule="exact"/>
              <w:rPr>
                <w:rFonts w:hint="eastAsia" w:ascii="仿宋_GB2312" w:eastAsia="仿宋_GB2312" w:cs="仿宋"/>
                <w:color w:val="000000"/>
                <w:kern w:val="0"/>
                <w:sz w:val="24"/>
              </w:rPr>
            </w:pPr>
            <w:r>
              <w:rPr>
                <w:rFonts w:ascii="仿宋_GB2312" w:eastAsia="仿宋_GB2312" w:cs="仿宋"/>
                <w:color w:val="000000"/>
                <w:kern w:val="0"/>
                <w:sz w:val="24"/>
              </w:rPr>
              <w:t>（六）市政务公开领导小组在考核中发现的其他情形，扣分酌情而定。</w:t>
            </w:r>
          </w:p>
        </w:tc>
        <w:tc>
          <w:tcPr>
            <w:tcW w:w="2059" w:type="dxa"/>
            <w:vAlign w:val="center"/>
          </w:tcPr>
          <w:p>
            <w:pPr>
              <w:widowControl/>
              <w:spacing w:line="300" w:lineRule="exact"/>
              <w:rPr>
                <w:rFonts w:hint="eastAsia" w:ascii="仿宋_GB2312" w:eastAsia="仿宋_GB2312" w:cs="仿宋"/>
                <w:color w:val="000000"/>
                <w:kern w:val="0"/>
                <w:sz w:val="24"/>
              </w:rPr>
            </w:pPr>
            <w:r>
              <w:rPr>
                <w:rFonts w:hint="eastAsia" w:ascii="仿宋_GB2312" w:eastAsia="仿宋_GB2312" w:cs="仿宋"/>
                <w:color w:val="000000"/>
                <w:kern w:val="0"/>
                <w:sz w:val="24"/>
              </w:rPr>
              <w:t>根据考核情况评定</w:t>
            </w:r>
          </w:p>
        </w:tc>
      </w:tr>
    </w:tbl>
    <w:p>
      <w:pPr>
        <w:keepNext w:val="0"/>
        <w:keepLines w:val="0"/>
        <w:pageBreakBefore w:val="0"/>
        <w:widowControl w:val="0"/>
        <w:kinsoku/>
        <w:wordWrap/>
        <w:overflowPunct/>
        <w:topLinePunct w:val="0"/>
        <w:autoSpaceDE/>
        <w:autoSpaceDN/>
        <w:bidi w:val="0"/>
        <w:adjustRightInd/>
        <w:snapToGrid/>
        <w:spacing w:line="560" w:lineRule="exact"/>
        <w:jc w:val="left"/>
        <w:textAlignment w:val="center"/>
        <w:rPr>
          <w:rFonts w:hint="default" w:ascii="仿宋" w:hAnsi="仿宋" w:eastAsia="仿宋"/>
          <w:color w:val="000000"/>
          <w:spacing w:val="23"/>
          <w:w w:val="88"/>
          <w:sz w:val="32"/>
          <w:szCs w:val="32"/>
          <w:lang w:val="en-US" w:eastAsia="zh-CN"/>
        </w:rPr>
      </w:pPr>
    </w:p>
    <w:sectPr>
      <w:headerReference r:id="rId4" w:type="first"/>
      <w:footerReference r:id="rId6" w:type="first"/>
      <w:headerReference r:id="rId3" w:type="default"/>
      <w:footerReference r:id="rId5" w:type="default"/>
      <w:pgSz w:w="16838" w:h="11906" w:orient="landscape"/>
      <w:pgMar w:top="1134" w:right="1134" w:bottom="1114" w:left="1134" w:header="850" w:footer="992" w:gutter="0"/>
      <w:pgBorders w:offsetFrom="page">
        <w:top w:val="none" w:sz="0" w:space="0"/>
        <w:left w:val="none" w:sz="0" w:space="0"/>
        <w:bottom w:val="none" w:sz="0" w:space="0"/>
        <w:right w:val="none" w:sz="0" w:space="0"/>
      </w:pgBorders>
      <w:pgNumType w:fmt="numberInDash" w:start="5"/>
      <w:cols w:space="0" w:num="1"/>
      <w:titlePg/>
      <w:rtlGutter w:val="0"/>
      <w:docGrid w:type="linesAndChars" w:linePitch="312" w:charSpace="-5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Noto Sans Mono CJK HK">
    <w:altName w:val="宋体"/>
    <w:panose1 w:val="020B0500000000000000"/>
    <w:charset w:val="86"/>
    <w:family w:val="script"/>
    <w:pitch w:val="default"/>
    <w:sig w:usb0="00000000" w:usb1="00000000" w:usb2="00000016" w:usb3="00000000" w:csb0="603A0107"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Chars="-186" w:hanging="390" w:hangingChars="217"/>
    </w:pPr>
    <w:r>
      <w:rPr>
        <w:sz w:val="18"/>
      </w:rPr>
      <w:pict>
        <v:shape id="_x0000_s4101" o:spid="_x0000_s4101" o:spt="202" type="#_x0000_t202" style="position:absolute;left:0pt;margin-top:20pt;height:134pt;width:144pt;mso-position-horizontal:center;mso-position-horizontal-relative:margin;mso-wrap-style:none;z-index:251660288;mso-width-relative:page;mso-height-relative:page;" filled="f" stroked="f" coordsize="21600,21600">
          <v:path/>
          <v:fill on="f" focussize="0,0"/>
          <v:stroke on="f" weight="5.67pt"/>
          <v:imagedata o:title=""/>
          <o:lock v:ext="edit" aspectratio="f"/>
          <v:textbox inset="0mm,0mm,0mm,0mm">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w:r>
  </w:p>
  <w:p>
    <w:pPr>
      <w:pStyle w:val="7"/>
      <w:ind w:left="-7" w:leftChars="-68" w:hanging="136" w:hangingChars="76"/>
      <w:jc w:val="left"/>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w:pict>
        <v:shape id="_x0000_s4099" o:spid="_x0000_s4099" o:spt="202" type="#_x0000_t202" style="position:absolute;left:0pt;margin-top:10pt;height:23.05pt;width:144pt;mso-position-horizontal:center;mso-position-horizontal-relative:margin;mso-wrap-style:none;z-index:251661312;mso-width-relative:page;mso-height-relative:page;" filled="f" stroked="f" coordsize="21600,21600">
          <v:path/>
          <v:fill on="f" focussize="0,0"/>
          <v:stroke on="f" weight="5.67pt"/>
          <v:imagedata o:title=""/>
          <o:lock v:ext="edit" aspectratio="f"/>
          <v:textbox inset="0mm,0mm,0mm,0mm">
            <w:txbxContent>
              <w:p>
                <w:pPr>
                  <w:pStyle w:val="7"/>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w:r>
    <w:r>
      <w:rPr>
        <w:sz w:val="18"/>
      </w:rPr>
      <w:pict>
        <v:line id="_x0000_s4100" o:spid="_x0000_s4100" o:spt="20" style="position:absolute;left:0pt;margin-left:-19.65pt;margin-top:770.35pt;height:0.05pt;width:481.9pt;mso-position-vertical-relative:page;z-index:251659264;mso-width-relative:page;mso-height-relative:page;" filled="f" stroked="t" coordsize="21600,21600">
          <v:path arrowok="t"/>
          <v:fill on="f" focussize="0,0"/>
          <v:stroke weight="3.75pt" color="#FF0000" linestyle="thinThick"/>
          <v:imagedata o:title=""/>
          <o:lock v:ext="edit" aspectratio="f"/>
        </v:lin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hyphenationZone w:val="360"/>
  <w:drawingGridHorizontalSpacing w:val="104"/>
  <w:drawingGridVerticalSpacing w:val="156"/>
  <w:displayHorizontalDrawingGridEvery w:val="2"/>
  <w:displayVerticalDrawingGridEvery w:val="2"/>
  <w:doNotShadeFormData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WIwOTYwZmRkZmM4ZjE4ZjFlZWM0ODNkM2UxNWE5YzAifQ=="/>
    <w:docVar w:name="KGWebUrl" w:val="http://172.31.4.12:80/seeyon/officeservlet"/>
  </w:docVars>
  <w:rsids>
    <w:rsidRoot w:val="00916A90"/>
    <w:rsid w:val="00016C7F"/>
    <w:rsid w:val="00024C38"/>
    <w:rsid w:val="00026756"/>
    <w:rsid w:val="00030B1D"/>
    <w:rsid w:val="00040E0E"/>
    <w:rsid w:val="00050247"/>
    <w:rsid w:val="00054119"/>
    <w:rsid w:val="00056D39"/>
    <w:rsid w:val="00061917"/>
    <w:rsid w:val="00073922"/>
    <w:rsid w:val="00080F41"/>
    <w:rsid w:val="000A0B7E"/>
    <w:rsid w:val="000A3CD4"/>
    <w:rsid w:val="000A6793"/>
    <w:rsid w:val="000B012F"/>
    <w:rsid w:val="000B0C55"/>
    <w:rsid w:val="000C61BF"/>
    <w:rsid w:val="000D2E6D"/>
    <w:rsid w:val="000D66F5"/>
    <w:rsid w:val="000E4C77"/>
    <w:rsid w:val="000F6DDA"/>
    <w:rsid w:val="000F6E28"/>
    <w:rsid w:val="00106BBB"/>
    <w:rsid w:val="00106E2A"/>
    <w:rsid w:val="0010763C"/>
    <w:rsid w:val="0013186F"/>
    <w:rsid w:val="00133988"/>
    <w:rsid w:val="00142177"/>
    <w:rsid w:val="001447D5"/>
    <w:rsid w:val="00155A9A"/>
    <w:rsid w:val="00160D37"/>
    <w:rsid w:val="001743CE"/>
    <w:rsid w:val="00175CB5"/>
    <w:rsid w:val="00191F59"/>
    <w:rsid w:val="00192647"/>
    <w:rsid w:val="00192EC8"/>
    <w:rsid w:val="001A2BD6"/>
    <w:rsid w:val="001A37E0"/>
    <w:rsid w:val="001B3767"/>
    <w:rsid w:val="001B72DE"/>
    <w:rsid w:val="0020093F"/>
    <w:rsid w:val="0020300F"/>
    <w:rsid w:val="00222790"/>
    <w:rsid w:val="0022448F"/>
    <w:rsid w:val="00232015"/>
    <w:rsid w:val="00232F2F"/>
    <w:rsid w:val="00235726"/>
    <w:rsid w:val="002416FB"/>
    <w:rsid w:val="00252B80"/>
    <w:rsid w:val="00255F31"/>
    <w:rsid w:val="00260BF8"/>
    <w:rsid w:val="002626E1"/>
    <w:rsid w:val="00264B08"/>
    <w:rsid w:val="00267C4A"/>
    <w:rsid w:val="00272B34"/>
    <w:rsid w:val="00273606"/>
    <w:rsid w:val="00291C45"/>
    <w:rsid w:val="0029268C"/>
    <w:rsid w:val="002937ED"/>
    <w:rsid w:val="002969CA"/>
    <w:rsid w:val="002A381E"/>
    <w:rsid w:val="002B065B"/>
    <w:rsid w:val="002C2F5C"/>
    <w:rsid w:val="002C492E"/>
    <w:rsid w:val="002C4CB5"/>
    <w:rsid w:val="002D315F"/>
    <w:rsid w:val="002D32E7"/>
    <w:rsid w:val="002D5E1A"/>
    <w:rsid w:val="002F4F51"/>
    <w:rsid w:val="003033EE"/>
    <w:rsid w:val="003041BC"/>
    <w:rsid w:val="003111AD"/>
    <w:rsid w:val="0031312D"/>
    <w:rsid w:val="0031692E"/>
    <w:rsid w:val="00317FB6"/>
    <w:rsid w:val="00320A7E"/>
    <w:rsid w:val="00327DCC"/>
    <w:rsid w:val="00334C9B"/>
    <w:rsid w:val="00337AB7"/>
    <w:rsid w:val="00341929"/>
    <w:rsid w:val="003432AA"/>
    <w:rsid w:val="00344457"/>
    <w:rsid w:val="00346393"/>
    <w:rsid w:val="003528AE"/>
    <w:rsid w:val="00354F58"/>
    <w:rsid w:val="00362A58"/>
    <w:rsid w:val="00365CA8"/>
    <w:rsid w:val="003721E7"/>
    <w:rsid w:val="003761EE"/>
    <w:rsid w:val="003768E2"/>
    <w:rsid w:val="003831E9"/>
    <w:rsid w:val="00395929"/>
    <w:rsid w:val="003B206F"/>
    <w:rsid w:val="003B287B"/>
    <w:rsid w:val="003C2143"/>
    <w:rsid w:val="003C60D4"/>
    <w:rsid w:val="003D4B10"/>
    <w:rsid w:val="003D6DF4"/>
    <w:rsid w:val="003E25C8"/>
    <w:rsid w:val="003F2230"/>
    <w:rsid w:val="003F6940"/>
    <w:rsid w:val="004036E3"/>
    <w:rsid w:val="00404FC7"/>
    <w:rsid w:val="0040707B"/>
    <w:rsid w:val="004102E5"/>
    <w:rsid w:val="00411213"/>
    <w:rsid w:val="00412715"/>
    <w:rsid w:val="004137DA"/>
    <w:rsid w:val="00414356"/>
    <w:rsid w:val="00414877"/>
    <w:rsid w:val="004256E6"/>
    <w:rsid w:val="004568D6"/>
    <w:rsid w:val="00461412"/>
    <w:rsid w:val="004617B1"/>
    <w:rsid w:val="00461EF8"/>
    <w:rsid w:val="00462199"/>
    <w:rsid w:val="00493410"/>
    <w:rsid w:val="00495FBB"/>
    <w:rsid w:val="004A2D33"/>
    <w:rsid w:val="004A4F49"/>
    <w:rsid w:val="004A4FD6"/>
    <w:rsid w:val="004D0E4A"/>
    <w:rsid w:val="004F1321"/>
    <w:rsid w:val="004F53F3"/>
    <w:rsid w:val="00513D88"/>
    <w:rsid w:val="005152F6"/>
    <w:rsid w:val="0053149D"/>
    <w:rsid w:val="00531CA7"/>
    <w:rsid w:val="00535468"/>
    <w:rsid w:val="005430AB"/>
    <w:rsid w:val="005832A0"/>
    <w:rsid w:val="005906CB"/>
    <w:rsid w:val="005A72C0"/>
    <w:rsid w:val="005B04DE"/>
    <w:rsid w:val="005B171F"/>
    <w:rsid w:val="005B6D01"/>
    <w:rsid w:val="005C71AD"/>
    <w:rsid w:val="005D1BCD"/>
    <w:rsid w:val="005D6713"/>
    <w:rsid w:val="005D7822"/>
    <w:rsid w:val="005F047F"/>
    <w:rsid w:val="005F66B1"/>
    <w:rsid w:val="006049F3"/>
    <w:rsid w:val="0061465E"/>
    <w:rsid w:val="00616C16"/>
    <w:rsid w:val="00617521"/>
    <w:rsid w:val="0062063B"/>
    <w:rsid w:val="00641DE8"/>
    <w:rsid w:val="00642838"/>
    <w:rsid w:val="00652483"/>
    <w:rsid w:val="006538F1"/>
    <w:rsid w:val="00654B1A"/>
    <w:rsid w:val="00662098"/>
    <w:rsid w:val="0066488F"/>
    <w:rsid w:val="006658E0"/>
    <w:rsid w:val="0067155B"/>
    <w:rsid w:val="0067287F"/>
    <w:rsid w:val="00673DC0"/>
    <w:rsid w:val="006757E3"/>
    <w:rsid w:val="00694EA3"/>
    <w:rsid w:val="006A3BA3"/>
    <w:rsid w:val="006A5076"/>
    <w:rsid w:val="006B1A00"/>
    <w:rsid w:val="006B570C"/>
    <w:rsid w:val="006C4AD6"/>
    <w:rsid w:val="006C59FD"/>
    <w:rsid w:val="006C6CC1"/>
    <w:rsid w:val="006C7C0F"/>
    <w:rsid w:val="006D5D7D"/>
    <w:rsid w:val="006E7949"/>
    <w:rsid w:val="006F543D"/>
    <w:rsid w:val="00700D85"/>
    <w:rsid w:val="00712948"/>
    <w:rsid w:val="00713E03"/>
    <w:rsid w:val="00725376"/>
    <w:rsid w:val="00725D61"/>
    <w:rsid w:val="007278B4"/>
    <w:rsid w:val="00736094"/>
    <w:rsid w:val="0074035B"/>
    <w:rsid w:val="00745E7C"/>
    <w:rsid w:val="00752C49"/>
    <w:rsid w:val="007559C1"/>
    <w:rsid w:val="0075682E"/>
    <w:rsid w:val="007573AA"/>
    <w:rsid w:val="00777AB9"/>
    <w:rsid w:val="00782849"/>
    <w:rsid w:val="00797E13"/>
    <w:rsid w:val="007A1F09"/>
    <w:rsid w:val="007A2950"/>
    <w:rsid w:val="007A323E"/>
    <w:rsid w:val="007A42C0"/>
    <w:rsid w:val="007B3824"/>
    <w:rsid w:val="007B3BAF"/>
    <w:rsid w:val="007C25FE"/>
    <w:rsid w:val="007C6BC4"/>
    <w:rsid w:val="007D0E15"/>
    <w:rsid w:val="007D3423"/>
    <w:rsid w:val="007D648F"/>
    <w:rsid w:val="007E02B7"/>
    <w:rsid w:val="007E071E"/>
    <w:rsid w:val="007E0AB5"/>
    <w:rsid w:val="007E1D10"/>
    <w:rsid w:val="007E1EC7"/>
    <w:rsid w:val="007E2BA3"/>
    <w:rsid w:val="007E418F"/>
    <w:rsid w:val="007E4813"/>
    <w:rsid w:val="008015D4"/>
    <w:rsid w:val="00801A42"/>
    <w:rsid w:val="008162FA"/>
    <w:rsid w:val="00821B76"/>
    <w:rsid w:val="00827A5B"/>
    <w:rsid w:val="00832D6C"/>
    <w:rsid w:val="008645B0"/>
    <w:rsid w:val="00867870"/>
    <w:rsid w:val="0088634B"/>
    <w:rsid w:val="0088747A"/>
    <w:rsid w:val="0089113E"/>
    <w:rsid w:val="00897C77"/>
    <w:rsid w:val="008A0860"/>
    <w:rsid w:val="008A0BD9"/>
    <w:rsid w:val="008B25E1"/>
    <w:rsid w:val="008D51E7"/>
    <w:rsid w:val="009075C6"/>
    <w:rsid w:val="00914639"/>
    <w:rsid w:val="00916A90"/>
    <w:rsid w:val="009179D3"/>
    <w:rsid w:val="00926304"/>
    <w:rsid w:val="00933336"/>
    <w:rsid w:val="009718D5"/>
    <w:rsid w:val="0097711F"/>
    <w:rsid w:val="009869FC"/>
    <w:rsid w:val="009918FE"/>
    <w:rsid w:val="009A1AF3"/>
    <w:rsid w:val="009A79E1"/>
    <w:rsid w:val="009B1AFE"/>
    <w:rsid w:val="009D199F"/>
    <w:rsid w:val="009D2255"/>
    <w:rsid w:val="009D6492"/>
    <w:rsid w:val="009F079D"/>
    <w:rsid w:val="009F13AB"/>
    <w:rsid w:val="009F153C"/>
    <w:rsid w:val="009F5DEB"/>
    <w:rsid w:val="009F6FA5"/>
    <w:rsid w:val="00A00598"/>
    <w:rsid w:val="00A00D7C"/>
    <w:rsid w:val="00A01C3C"/>
    <w:rsid w:val="00A11A0B"/>
    <w:rsid w:val="00A14528"/>
    <w:rsid w:val="00A234A0"/>
    <w:rsid w:val="00A27C52"/>
    <w:rsid w:val="00A32E91"/>
    <w:rsid w:val="00A37022"/>
    <w:rsid w:val="00A46EF5"/>
    <w:rsid w:val="00A53BBE"/>
    <w:rsid w:val="00A641AC"/>
    <w:rsid w:val="00A64BF9"/>
    <w:rsid w:val="00A855A1"/>
    <w:rsid w:val="00A8774B"/>
    <w:rsid w:val="00A9499B"/>
    <w:rsid w:val="00AA0AC0"/>
    <w:rsid w:val="00AA2115"/>
    <w:rsid w:val="00AA50F2"/>
    <w:rsid w:val="00AA57C3"/>
    <w:rsid w:val="00AA5A13"/>
    <w:rsid w:val="00AC6A57"/>
    <w:rsid w:val="00AC7620"/>
    <w:rsid w:val="00AD2D9A"/>
    <w:rsid w:val="00AE0722"/>
    <w:rsid w:val="00AF7729"/>
    <w:rsid w:val="00B01F9B"/>
    <w:rsid w:val="00B057E5"/>
    <w:rsid w:val="00B11C87"/>
    <w:rsid w:val="00B14BC1"/>
    <w:rsid w:val="00B242CD"/>
    <w:rsid w:val="00B2519C"/>
    <w:rsid w:val="00B31C3C"/>
    <w:rsid w:val="00B37378"/>
    <w:rsid w:val="00B41A5F"/>
    <w:rsid w:val="00B43A10"/>
    <w:rsid w:val="00B508F5"/>
    <w:rsid w:val="00B52230"/>
    <w:rsid w:val="00B53256"/>
    <w:rsid w:val="00B67563"/>
    <w:rsid w:val="00B75F9D"/>
    <w:rsid w:val="00B804E5"/>
    <w:rsid w:val="00B85D05"/>
    <w:rsid w:val="00B8701F"/>
    <w:rsid w:val="00B8716D"/>
    <w:rsid w:val="00B946BE"/>
    <w:rsid w:val="00BA2691"/>
    <w:rsid w:val="00BC050D"/>
    <w:rsid w:val="00BC20DE"/>
    <w:rsid w:val="00BE2728"/>
    <w:rsid w:val="00BF1D2B"/>
    <w:rsid w:val="00BF79C0"/>
    <w:rsid w:val="00C00F15"/>
    <w:rsid w:val="00C02419"/>
    <w:rsid w:val="00C04101"/>
    <w:rsid w:val="00C062ED"/>
    <w:rsid w:val="00C10A64"/>
    <w:rsid w:val="00C16CEA"/>
    <w:rsid w:val="00C24201"/>
    <w:rsid w:val="00C33AAF"/>
    <w:rsid w:val="00C42684"/>
    <w:rsid w:val="00C44599"/>
    <w:rsid w:val="00C453C0"/>
    <w:rsid w:val="00C5043B"/>
    <w:rsid w:val="00C53105"/>
    <w:rsid w:val="00C647A5"/>
    <w:rsid w:val="00C701B2"/>
    <w:rsid w:val="00C704EF"/>
    <w:rsid w:val="00C7165D"/>
    <w:rsid w:val="00C736A4"/>
    <w:rsid w:val="00C7771A"/>
    <w:rsid w:val="00C845D7"/>
    <w:rsid w:val="00C870EA"/>
    <w:rsid w:val="00C91EB7"/>
    <w:rsid w:val="00CA232D"/>
    <w:rsid w:val="00CA367B"/>
    <w:rsid w:val="00CC2CF2"/>
    <w:rsid w:val="00CC37BF"/>
    <w:rsid w:val="00CE62AC"/>
    <w:rsid w:val="00D01144"/>
    <w:rsid w:val="00D0140A"/>
    <w:rsid w:val="00D10163"/>
    <w:rsid w:val="00D11194"/>
    <w:rsid w:val="00D132D6"/>
    <w:rsid w:val="00D174D0"/>
    <w:rsid w:val="00D252D5"/>
    <w:rsid w:val="00D3002B"/>
    <w:rsid w:val="00D43261"/>
    <w:rsid w:val="00D438CD"/>
    <w:rsid w:val="00D47603"/>
    <w:rsid w:val="00D574E5"/>
    <w:rsid w:val="00D57B58"/>
    <w:rsid w:val="00D66924"/>
    <w:rsid w:val="00D812B8"/>
    <w:rsid w:val="00D868F4"/>
    <w:rsid w:val="00D96DA4"/>
    <w:rsid w:val="00DA37A0"/>
    <w:rsid w:val="00DB4174"/>
    <w:rsid w:val="00DC1BC0"/>
    <w:rsid w:val="00DE6DE5"/>
    <w:rsid w:val="00DF2133"/>
    <w:rsid w:val="00DF3896"/>
    <w:rsid w:val="00DF3C63"/>
    <w:rsid w:val="00DF49D8"/>
    <w:rsid w:val="00E04599"/>
    <w:rsid w:val="00E056F8"/>
    <w:rsid w:val="00E171C6"/>
    <w:rsid w:val="00E23510"/>
    <w:rsid w:val="00E3141C"/>
    <w:rsid w:val="00E31A44"/>
    <w:rsid w:val="00E32BB1"/>
    <w:rsid w:val="00E33B63"/>
    <w:rsid w:val="00E33D38"/>
    <w:rsid w:val="00E5561B"/>
    <w:rsid w:val="00E70496"/>
    <w:rsid w:val="00E8042A"/>
    <w:rsid w:val="00E83263"/>
    <w:rsid w:val="00E85130"/>
    <w:rsid w:val="00E854AA"/>
    <w:rsid w:val="00E92BE9"/>
    <w:rsid w:val="00EA2FCF"/>
    <w:rsid w:val="00EC69AF"/>
    <w:rsid w:val="00ED64E5"/>
    <w:rsid w:val="00EE0401"/>
    <w:rsid w:val="00EF282E"/>
    <w:rsid w:val="00EF4835"/>
    <w:rsid w:val="00F03038"/>
    <w:rsid w:val="00F03439"/>
    <w:rsid w:val="00F26910"/>
    <w:rsid w:val="00F3716C"/>
    <w:rsid w:val="00F4753A"/>
    <w:rsid w:val="00F52F7A"/>
    <w:rsid w:val="00F54972"/>
    <w:rsid w:val="00F66DD6"/>
    <w:rsid w:val="00F7573C"/>
    <w:rsid w:val="00F97A29"/>
    <w:rsid w:val="00FA12D6"/>
    <w:rsid w:val="00FA1AA9"/>
    <w:rsid w:val="00FA21C4"/>
    <w:rsid w:val="00FB0E2A"/>
    <w:rsid w:val="00FC6962"/>
    <w:rsid w:val="00FD22E1"/>
    <w:rsid w:val="00FD2821"/>
    <w:rsid w:val="00FD400D"/>
    <w:rsid w:val="00FE1C2A"/>
    <w:rsid w:val="00FE296B"/>
    <w:rsid w:val="013D21E6"/>
    <w:rsid w:val="01F66527"/>
    <w:rsid w:val="03AE511C"/>
    <w:rsid w:val="0475407E"/>
    <w:rsid w:val="059A680A"/>
    <w:rsid w:val="0AEE1004"/>
    <w:rsid w:val="0B8E62EA"/>
    <w:rsid w:val="0CEF1B3B"/>
    <w:rsid w:val="0E054CE1"/>
    <w:rsid w:val="10E9720A"/>
    <w:rsid w:val="11920B00"/>
    <w:rsid w:val="12560480"/>
    <w:rsid w:val="141C43B7"/>
    <w:rsid w:val="145A5F37"/>
    <w:rsid w:val="1A38024C"/>
    <w:rsid w:val="1ADC73E0"/>
    <w:rsid w:val="1B113C55"/>
    <w:rsid w:val="1D6777B6"/>
    <w:rsid w:val="23C53F88"/>
    <w:rsid w:val="27B800C2"/>
    <w:rsid w:val="27E50C2B"/>
    <w:rsid w:val="2AA04D01"/>
    <w:rsid w:val="2E14382B"/>
    <w:rsid w:val="2F2F25E5"/>
    <w:rsid w:val="2FD61DBA"/>
    <w:rsid w:val="325050FB"/>
    <w:rsid w:val="38001153"/>
    <w:rsid w:val="400402FE"/>
    <w:rsid w:val="409B40B9"/>
    <w:rsid w:val="43B76BAD"/>
    <w:rsid w:val="440D38E7"/>
    <w:rsid w:val="472662B9"/>
    <w:rsid w:val="4DDC48F0"/>
    <w:rsid w:val="51C06CE6"/>
    <w:rsid w:val="53370482"/>
    <w:rsid w:val="53F65F61"/>
    <w:rsid w:val="54083749"/>
    <w:rsid w:val="557F7167"/>
    <w:rsid w:val="55BB2887"/>
    <w:rsid w:val="57C8215B"/>
    <w:rsid w:val="58A460B5"/>
    <w:rsid w:val="5C994984"/>
    <w:rsid w:val="5F9A05C5"/>
    <w:rsid w:val="643B63EC"/>
    <w:rsid w:val="663D373F"/>
    <w:rsid w:val="675C938A"/>
    <w:rsid w:val="68DF44B3"/>
    <w:rsid w:val="6B824356"/>
    <w:rsid w:val="6BFB6DB8"/>
    <w:rsid w:val="6D1D578D"/>
    <w:rsid w:val="6EE978F5"/>
    <w:rsid w:val="6EFB4BE1"/>
    <w:rsid w:val="6FB229EF"/>
    <w:rsid w:val="6FC30B42"/>
    <w:rsid w:val="71BBB040"/>
    <w:rsid w:val="71D03EA9"/>
    <w:rsid w:val="77FFAFA0"/>
    <w:rsid w:val="7A41764F"/>
    <w:rsid w:val="7DB7F191"/>
    <w:rsid w:val="7EA011EC"/>
    <w:rsid w:val="7F945A4B"/>
    <w:rsid w:val="7FAB59B4"/>
    <w:rsid w:val="7FFF88F4"/>
    <w:rsid w:val="B3D5CBDE"/>
    <w:rsid w:val="BBFB74FB"/>
    <w:rsid w:val="C7FB8DBF"/>
    <w:rsid w:val="DFFF469C"/>
    <w:rsid w:val="F7F7538A"/>
    <w:rsid w:val="FFFA9993"/>
    <w:rsid w:val="FFFBB381"/>
    <w:rsid w:val="FFFD96E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qFormat/>
    <w:uiPriority w:val="0"/>
    <w:pPr>
      <w:keepNext/>
      <w:keepLines/>
      <w:widowControl w:val="0"/>
      <w:spacing w:before="260" w:after="260" w:line="415" w:lineRule="auto"/>
      <w:outlineLvl w:val="1"/>
    </w:pPr>
    <w:rPr>
      <w:rFonts w:ascii="Times New Roman" w:hAnsi="Times New Roman" w:eastAsia="黑体" w:cs="Times New Roman"/>
      <w:b/>
      <w:bCs/>
      <w:sz w:val="32"/>
      <w:szCs w:val="32"/>
    </w:rPr>
  </w:style>
  <w:style w:type="paragraph" w:styleId="4">
    <w:name w:val="heading 3"/>
    <w:basedOn w:val="1"/>
    <w:next w:val="1"/>
    <w:qFormat/>
    <w:uiPriority w:val="0"/>
    <w:pPr>
      <w:keepNext/>
      <w:keepLines/>
      <w:widowControl w:val="0"/>
      <w:spacing w:before="260" w:after="260" w:line="415" w:lineRule="auto"/>
      <w:outlineLvl w:val="2"/>
    </w:pPr>
    <w:rPr>
      <w:rFonts w:ascii="Calibri" w:hAnsi="Calibri" w:eastAsia="宋体" w:cs="Times New Roman"/>
      <w:b/>
      <w:bCs/>
      <w:sz w:val="32"/>
      <w:szCs w:val="32"/>
    </w:rPr>
  </w:style>
  <w:style w:type="character" w:default="1" w:styleId="11">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index 6"/>
    <w:basedOn w:val="1"/>
    <w:next w:val="1"/>
    <w:qFormat/>
    <w:uiPriority w:val="0"/>
    <w:pPr>
      <w:ind w:left="2100"/>
    </w:pPr>
    <w:rPr>
      <w:rFonts w:ascii="Calibri" w:hAnsi="Calibri" w:eastAsia="宋体" w:cs="Times New Roman"/>
      <w:szCs w:val="24"/>
    </w:rPr>
  </w:style>
  <w:style w:type="paragraph" w:styleId="6">
    <w:name w:val="Balloon Text"/>
    <w:basedOn w:val="1"/>
    <w:link w:val="12"/>
    <w:qFormat/>
    <w:uiPriority w:val="0"/>
    <w:rPr>
      <w:sz w:val="18"/>
      <w:szCs w:val="18"/>
    </w:rPr>
  </w:style>
  <w:style w:type="paragraph" w:styleId="7">
    <w:name w:val="footer"/>
    <w:basedOn w:val="1"/>
    <w:link w:val="13"/>
    <w:qFormat/>
    <w:uiPriority w:val="0"/>
    <w:pPr>
      <w:tabs>
        <w:tab w:val="center" w:pos="4153"/>
        <w:tab w:val="right" w:pos="8306"/>
      </w:tabs>
      <w:snapToGrid w:val="0"/>
      <w:jc w:val="left"/>
    </w:pPr>
    <w:rPr>
      <w:sz w:val="18"/>
      <w:szCs w:val="18"/>
    </w:rPr>
  </w:style>
  <w:style w:type="paragraph" w:styleId="8">
    <w:name w:val="header"/>
    <w:basedOn w:val="1"/>
    <w:link w:val="14"/>
    <w:qFormat/>
    <w:uiPriority w:val="0"/>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批注框文本 Char"/>
    <w:link w:val="6"/>
    <w:semiHidden/>
    <w:qFormat/>
    <w:uiPriority w:val="99"/>
    <w:rPr>
      <w:kern w:val="2"/>
      <w:sz w:val="18"/>
      <w:szCs w:val="18"/>
    </w:rPr>
  </w:style>
  <w:style w:type="character" w:customStyle="1" w:styleId="13">
    <w:name w:val="页脚 Char"/>
    <w:link w:val="7"/>
    <w:qFormat/>
    <w:uiPriority w:val="99"/>
    <w:rPr>
      <w:kern w:val="2"/>
      <w:sz w:val="18"/>
      <w:szCs w:val="18"/>
    </w:rPr>
  </w:style>
  <w:style w:type="character" w:customStyle="1" w:styleId="14">
    <w:name w:val="页眉 Char"/>
    <w:link w:val="8"/>
    <w:semiHidden/>
    <w:qFormat/>
    <w:uiPriority w:val="99"/>
    <w:rPr>
      <w:kern w:val="2"/>
      <w:sz w:val="18"/>
      <w:szCs w:val="18"/>
    </w:rPr>
  </w:style>
  <w:style w:type="paragraph" w:styleId="15">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6">
    <w:name w:val="Table Paragraph"/>
    <w:basedOn w:val="1"/>
    <w:qFormat/>
    <w:uiPriority w:val="0"/>
    <w:pPr>
      <w:widowControl w:val="0"/>
      <w:autoSpaceDE w:val="0"/>
      <w:autoSpaceDN w:val="0"/>
      <w:spacing w:before="0" w:after="0" w:line="240" w:lineRule="auto"/>
      <w:ind w:left="0" w:right="0"/>
      <w:jc w:val="left"/>
    </w:pPr>
    <w:rPr>
      <w:rFonts w:ascii="Noto Sans Mono CJK HK" w:hAnsi="Calibri" w:eastAsia="Noto Sans Mono CJK HK" w:cs="Noto Sans Mono CJK HK"/>
      <w:kern w:val="2"/>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1" textRotate="1"/>
    <customShpInfo spid="_x0000_s4099" textRotate="1"/>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china</Company>
  <Pages>15</Pages>
  <Words>0</Words>
  <Characters>5872</Characters>
  <Lines>0</Lines>
  <Paragraphs>58</Paragraphs>
  <TotalTime>4</TotalTime>
  <ScaleCrop>false</ScaleCrop>
  <LinksUpToDate>false</LinksUpToDate>
  <CharactersWithSpaces>7830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2021-07-11T01:38:00Z</dcterms:created>
  <dc:creator>Cynthia</dc:creator>
  <cp:lastModifiedBy>Administrator</cp:lastModifiedBy>
  <cp:lastPrinted>2023-11-23T11:25:00Z</cp:lastPrinted>
  <dcterms:modified xsi:type="dcterms:W3CDTF">2023-12-01T12:42:24Z</dcterms:modified>
  <dc:title>吕梁市人民政府办公室</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文种">
    <vt:lpwstr/>
  </property>
  <property fmtid="{D5CDD505-2E9C-101B-9397-08002B2CF9AE}" pid="4" name="ICV">
    <vt:lpwstr>9F3D568CC9114B199D048E7226925104_13</vt:lpwstr>
  </property>
</Properties>
</file>